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372B7A66" w:rsidR="002D552E" w:rsidRDefault="002D552E" w:rsidP="00C76BEC">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76BEC" w:rsidRPr="00C76BEC">
        <w:rPr>
          <w:rFonts w:eastAsia="Times New Roman" w:cs="Times New Roman"/>
          <w:szCs w:val="24"/>
        </w:rPr>
        <w:t>Pharmacology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0483AB7" w:rsidR="002D552E" w:rsidRPr="002D552E" w:rsidRDefault="002D552E" w:rsidP="00C76BEC">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C76BEC" w:rsidRPr="00C76BEC">
        <w:rPr>
          <w:rFonts w:eastAsia="Times New Roman" w:cs="Times New Roman"/>
          <w:szCs w:val="24"/>
        </w:rPr>
        <w:t>NRSG 1300</w:t>
      </w:r>
    </w:p>
    <w:p w14:paraId="43D6665B" w14:textId="77777777" w:rsidR="002D552E" w:rsidRPr="002D552E" w:rsidRDefault="002D552E" w:rsidP="002D552E">
      <w:pPr>
        <w:spacing w:after="0" w:line="240" w:lineRule="auto"/>
        <w:rPr>
          <w:rFonts w:eastAsia="Times New Roman" w:cs="Times New Roman"/>
          <w:b/>
          <w:szCs w:val="24"/>
        </w:rPr>
      </w:pPr>
    </w:p>
    <w:p w14:paraId="1D5A2640" w14:textId="58C0656A" w:rsidR="00C76BEC" w:rsidRDefault="002D552E" w:rsidP="00C76BEC">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C76BEC" w:rsidRPr="00C76BEC">
        <w:t xml:space="preserve"> </w:t>
      </w:r>
      <w:r w:rsidR="00C76BEC">
        <w:rPr>
          <w:rFonts w:eastAsia="Times New Roman" w:cs="Times New Roman"/>
          <w:szCs w:val="24"/>
        </w:rPr>
        <w:t>BIOL 1510</w:t>
      </w:r>
      <w:r w:rsidR="00C76BEC" w:rsidRPr="00C76BEC">
        <w:rPr>
          <w:rFonts w:eastAsia="Times New Roman" w:cs="Times New Roman"/>
          <w:szCs w:val="24"/>
        </w:rPr>
        <w:t>, MATH 1135, NRSG 1200, and NRSG 1500</w:t>
      </w:r>
      <w:r w:rsidRPr="002D552E">
        <w:rPr>
          <w:rFonts w:eastAsia="Times New Roman" w:cs="Times New Roman"/>
          <w:b/>
          <w:szCs w:val="24"/>
        </w:rPr>
        <w:tab/>
      </w:r>
    </w:p>
    <w:p w14:paraId="2671025F" w14:textId="77777777" w:rsidR="00C76BEC" w:rsidRDefault="00C76BEC" w:rsidP="00C76BEC">
      <w:pPr>
        <w:pStyle w:val="ListParagraph"/>
        <w:spacing w:after="0" w:line="240" w:lineRule="auto"/>
        <w:rPr>
          <w:rFonts w:eastAsia="Times New Roman" w:cs="Times New Roman"/>
          <w:b/>
          <w:szCs w:val="24"/>
        </w:rPr>
      </w:pPr>
    </w:p>
    <w:p w14:paraId="43D6665C" w14:textId="7F9CE229" w:rsidR="002D552E" w:rsidRPr="002D552E" w:rsidRDefault="002D552E" w:rsidP="00C76BEC">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C76BEC">
        <w:rPr>
          <w:rFonts w:eastAsia="Times New Roman" w:cs="Times New Roman"/>
          <w:b/>
          <w:szCs w:val="24"/>
        </w:rPr>
        <w:t xml:space="preserve"> </w:t>
      </w:r>
      <w:r w:rsidR="008A5A7C">
        <w:rPr>
          <w:rFonts w:eastAsia="Times New Roman" w:cs="Times New Roman"/>
          <w:szCs w:val="24"/>
        </w:rPr>
        <w:t xml:space="preserve">BIOL 1520, </w:t>
      </w:r>
      <w:r w:rsidR="00C76BEC" w:rsidRPr="00C76BEC">
        <w:rPr>
          <w:rFonts w:eastAsia="Times New Roman" w:cs="Times New Roman"/>
          <w:szCs w:val="24"/>
        </w:rPr>
        <w:t>ENGL 1101, NRSG 1600, and PSYC 1111</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087D973" w:rsidR="002D552E" w:rsidRPr="002D552E" w:rsidRDefault="002D552E" w:rsidP="7F25B707">
      <w:pPr>
        <w:pStyle w:val="ListParagraph"/>
        <w:numPr>
          <w:ilvl w:val="0"/>
          <w:numId w:val="1"/>
        </w:numPr>
        <w:spacing w:after="0" w:line="240" w:lineRule="auto"/>
        <w:rPr>
          <w:rFonts w:eastAsia="Times New Roman" w:cs="Times New Roman"/>
          <w:b/>
          <w:bCs/>
        </w:rPr>
      </w:pPr>
      <w:r w:rsidRPr="7F25B707">
        <w:rPr>
          <w:rFonts w:eastAsia="Times New Roman" w:cs="Times New Roman"/>
          <w:b/>
          <w:bCs/>
        </w:rPr>
        <w:t>CREDIT HOURS*:</w:t>
      </w:r>
      <w:r>
        <w:tab/>
      </w:r>
      <w:r w:rsidR="00C76BEC" w:rsidRPr="7F25B707">
        <w:rPr>
          <w:rFonts w:eastAsia="Times New Roman" w:cs="Times New Roman"/>
        </w:rPr>
        <w:t>2</w:t>
      </w:r>
      <w:r>
        <w:tab/>
      </w:r>
      <w:r>
        <w:tab/>
      </w:r>
      <w:r>
        <w:tab/>
      </w:r>
      <w:r w:rsidRPr="7F25B707">
        <w:rPr>
          <w:rFonts w:eastAsia="Times New Roman" w:cs="Times New Roman"/>
          <w:b/>
          <w:bCs/>
        </w:rPr>
        <w:t>LECTURE HOURS*:</w:t>
      </w:r>
      <w:r w:rsidR="00FC2862" w:rsidRPr="7F25B707">
        <w:rPr>
          <w:rFonts w:eastAsia="Times New Roman" w:cs="Times New Roman"/>
          <w:b/>
          <w:bCs/>
        </w:rPr>
        <w:t xml:space="preserve"> </w:t>
      </w:r>
      <w:r w:rsidR="00C76BEC" w:rsidRPr="7F25B707">
        <w:rPr>
          <w:rFonts w:eastAsia="Times New Roman" w:cs="Times New Roman"/>
        </w:rPr>
        <w:t>2</w:t>
      </w:r>
      <w:r w:rsidR="78B67583" w:rsidRPr="7F25B707">
        <w:rPr>
          <w:rFonts w:eastAsia="Times New Roman" w:cs="Times New Roman"/>
        </w:rPr>
        <w:t xml:space="preserve"> (25 clock</w:t>
      </w:r>
      <w:r w:rsidR="14E9E68B" w:rsidRPr="7F25B707">
        <w:rPr>
          <w:rFonts w:eastAsia="Times New Roman" w:cs="Times New Roman"/>
        </w:rPr>
        <w:t xml:space="preserve"> </w:t>
      </w:r>
      <w:r w:rsidR="78B67583" w:rsidRPr="7F25B707">
        <w:rPr>
          <w:rFonts w:eastAsia="Times New Roman" w:cs="Times New Roman"/>
        </w:rPr>
        <w:t>hours)</w:t>
      </w:r>
    </w:p>
    <w:p w14:paraId="43D66661" w14:textId="0E4FF10E" w:rsidR="002D552E" w:rsidRPr="002D552E" w:rsidRDefault="002D552E" w:rsidP="7F25B707">
      <w:pPr>
        <w:spacing w:after="0" w:line="240" w:lineRule="auto"/>
        <w:rPr>
          <w:rFonts w:eastAsia="Times New Roman" w:cs="Times New Roman"/>
        </w:rPr>
      </w:pPr>
      <w:r w:rsidRPr="002D552E">
        <w:rPr>
          <w:rFonts w:eastAsia="Times New Roman" w:cs="Times New Roman"/>
          <w:b/>
          <w:szCs w:val="24"/>
        </w:rPr>
        <w:tab/>
      </w:r>
      <w:r w:rsidRPr="7F25B707">
        <w:rPr>
          <w:rFonts w:eastAsia="Times New Roman" w:cs="Times New Roman"/>
          <w:b/>
          <w:bCs/>
        </w:rPr>
        <w:t xml:space="preserve">LABORATORY HOURS*: </w:t>
      </w:r>
      <w:r w:rsidR="1349BEA2" w:rsidRPr="7F25B707">
        <w:rPr>
          <w:rFonts w:eastAsia="Times New Roman" w:cs="Times New Roman"/>
        </w:rPr>
        <w:t>0</w:t>
      </w:r>
      <w:r>
        <w:tab/>
      </w:r>
      <w:r w:rsidRPr="002D552E">
        <w:rPr>
          <w:rFonts w:eastAsia="Times New Roman" w:cs="Times New Roman"/>
          <w:b/>
          <w:szCs w:val="24"/>
        </w:rPr>
        <w:tab/>
      </w:r>
      <w:r w:rsidRPr="7F25B707">
        <w:rPr>
          <w:rFonts w:eastAsia="Times New Roman" w:cs="Times New Roman"/>
          <w:b/>
          <w:bCs/>
        </w:rPr>
        <w:t>OBSERVATION HOURS*:</w:t>
      </w:r>
      <w:r w:rsidR="434A63D2" w:rsidRPr="7F25B707">
        <w:rPr>
          <w:rFonts w:eastAsia="Times New Roman" w:cs="Times New Roman"/>
          <w:b/>
          <w:bCs/>
        </w:rPr>
        <w:t xml:space="preserve"> </w:t>
      </w:r>
      <w:r w:rsidR="0F25DBD7" w:rsidRPr="7F25B707">
        <w:rPr>
          <w:rFonts w:eastAsia="Times New Roman" w:cs="Times New Roman"/>
        </w:rPr>
        <w:t>0</w:t>
      </w:r>
    </w:p>
    <w:p w14:paraId="6C07EA6A" w14:textId="0E5C7F4D" w:rsidR="00DB7FE5" w:rsidRDefault="00DB7FE5" w:rsidP="00DB7FE5">
      <w:pPr>
        <w:spacing w:after="0" w:line="240" w:lineRule="auto"/>
        <w:ind w:firstLine="720"/>
        <w:rPr>
          <w:rFonts w:eastAsia="Times New Roman" w:cs="Times New Roman"/>
        </w:rPr>
      </w:pPr>
      <w:r w:rsidRPr="42CE1AA1">
        <w:rPr>
          <w:rFonts w:eastAsia="Times New Roman" w:cs="Times New Roman"/>
          <w:b/>
          <w:bCs/>
        </w:rPr>
        <w:t>CLINICAL HOURS:</w:t>
      </w:r>
      <w:r>
        <w:rPr>
          <w:rFonts w:eastAsia="Times New Roman" w:cs="Times New Roman"/>
        </w:rPr>
        <w:t xml:space="preserve"> 0</w:t>
      </w:r>
      <w:r>
        <w:rPr>
          <w:rFonts w:eastAsia="Times New Roman" w:cs="Times New Roman"/>
        </w:rPr>
        <w:tab/>
      </w:r>
      <w:r>
        <w:rPr>
          <w:rFonts w:eastAsia="Times New Roman" w:cs="Times New Roman"/>
        </w:rPr>
        <w:tab/>
      </w:r>
      <w:r>
        <w:rPr>
          <w:rFonts w:eastAsia="Times New Roman" w:cs="Times New Roman"/>
        </w:rPr>
        <w:tab/>
      </w:r>
      <w:r w:rsidRPr="42CE1AA1">
        <w:rPr>
          <w:rFonts w:eastAsia="Times New Roman" w:cs="Times New Roman"/>
          <w:b/>
          <w:bCs/>
        </w:rPr>
        <w:t xml:space="preserve">TOTAL LAB/CLINICAL HOURS: </w:t>
      </w:r>
      <w:r>
        <w:rPr>
          <w:rFonts w:eastAsia="Times New Roman" w:cs="Times New Roman"/>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15A0DB6" w14:textId="74D968ED" w:rsidR="00C5049E" w:rsidRPr="00C05A46" w:rsidRDefault="00C76BEC" w:rsidP="00C5049E">
      <w:pPr>
        <w:rPr>
          <w:rFonts w:cs="Times New Roman"/>
          <w:szCs w:val="24"/>
        </w:rPr>
      </w:pPr>
      <w:r>
        <w:rPr>
          <w:rFonts w:eastAsia="Times New Roman" w:cs="Times New Roman"/>
          <w:szCs w:val="24"/>
        </w:rPr>
        <w:tab/>
      </w:r>
      <w:r w:rsidR="00C5049E">
        <w:rPr>
          <w:rFonts w:cs="Times New Roman"/>
          <w:szCs w:val="24"/>
        </w:rPr>
        <w:t xml:space="preserve">This course promotes the development of basic pharmacologic principles across the </w:t>
      </w:r>
      <w:r w:rsidR="00C5049E">
        <w:rPr>
          <w:rFonts w:cs="Times New Roman"/>
          <w:szCs w:val="24"/>
        </w:rPr>
        <w:tab/>
        <w:t xml:space="preserve">lifespan, with an emphasis on clinical application and decision making in nursing </w:t>
      </w:r>
      <w:r w:rsidR="00C5049E">
        <w:rPr>
          <w:rFonts w:cs="Times New Roman"/>
          <w:szCs w:val="24"/>
        </w:rPr>
        <w:tab/>
        <w:t xml:space="preserve">practice. </w:t>
      </w: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B4C607B" w:rsidR="002D552E" w:rsidRDefault="002D552E" w:rsidP="002D552E">
      <w:pPr>
        <w:spacing w:after="0" w:line="240" w:lineRule="auto"/>
        <w:rPr>
          <w:rFonts w:eastAsia="Times New Roman" w:cs="Times New Roman"/>
          <w:b/>
          <w:szCs w:val="24"/>
        </w:rPr>
      </w:pPr>
    </w:p>
    <w:p w14:paraId="545BD951" w14:textId="77777777" w:rsidR="00C76BEC" w:rsidRPr="00C76BEC" w:rsidRDefault="00C76BEC" w:rsidP="00C76BEC">
      <w:pPr>
        <w:spacing w:after="0" w:line="240" w:lineRule="auto"/>
        <w:rPr>
          <w:rFonts w:eastAsia="Times New Roman" w:cs="Times New Roman"/>
          <w:szCs w:val="24"/>
        </w:rPr>
      </w:pPr>
      <w:r>
        <w:rPr>
          <w:rFonts w:eastAsia="Times New Roman" w:cs="Times New Roman"/>
          <w:b/>
          <w:szCs w:val="24"/>
        </w:rPr>
        <w:tab/>
      </w:r>
      <w:r w:rsidRPr="00C76BEC">
        <w:rPr>
          <w:rFonts w:eastAsia="Times New Roman" w:cs="Times New Roman"/>
          <w:szCs w:val="24"/>
        </w:rPr>
        <w:t>The learner will:</w:t>
      </w:r>
    </w:p>
    <w:p w14:paraId="3C1E5388" w14:textId="48CC9D92" w:rsidR="00C76BEC" w:rsidRPr="00164215" w:rsidRDefault="00164215" w:rsidP="00164215">
      <w:pPr>
        <w:pStyle w:val="ListParagraph"/>
        <w:numPr>
          <w:ilvl w:val="0"/>
          <w:numId w:val="2"/>
        </w:numPr>
        <w:spacing w:after="0" w:line="240" w:lineRule="auto"/>
        <w:rPr>
          <w:rFonts w:eastAsia="Times New Roman" w:cs="Times New Roman"/>
          <w:szCs w:val="24"/>
        </w:rPr>
      </w:pPr>
      <w:r w:rsidRPr="00164215">
        <w:rPr>
          <w:rFonts w:eastAsia="Times New Roman" w:cs="Times New Roman"/>
          <w:szCs w:val="24"/>
        </w:rPr>
        <w:t xml:space="preserve">Consider individual beliefs of patients, including cultural, spiritual, and values. </w:t>
      </w:r>
    </w:p>
    <w:p w14:paraId="0C4EDEF9" w14:textId="63A69F9F" w:rsidR="00164215" w:rsidRDefault="00164215" w:rsidP="00164215">
      <w:pPr>
        <w:pStyle w:val="ListParagraph"/>
        <w:numPr>
          <w:ilvl w:val="0"/>
          <w:numId w:val="2"/>
        </w:numPr>
        <w:spacing w:after="0" w:line="240" w:lineRule="auto"/>
        <w:rPr>
          <w:rFonts w:eastAsia="Times New Roman" w:cs="Times New Roman"/>
          <w:szCs w:val="24"/>
        </w:rPr>
      </w:pPr>
      <w:r>
        <w:rPr>
          <w:rFonts w:eastAsia="Times New Roman" w:cs="Times New Roman"/>
          <w:szCs w:val="24"/>
        </w:rPr>
        <w:t xml:space="preserve">Recognize the importance of nursing’s contributions as leaders in practice and policy issues. </w:t>
      </w:r>
    </w:p>
    <w:p w14:paraId="0A468C54" w14:textId="60A6B3AA" w:rsidR="00164215" w:rsidRDefault="00164215" w:rsidP="00164215">
      <w:pPr>
        <w:pStyle w:val="ListParagraph"/>
        <w:numPr>
          <w:ilvl w:val="0"/>
          <w:numId w:val="2"/>
        </w:numPr>
        <w:spacing w:after="0" w:line="240" w:lineRule="auto"/>
        <w:rPr>
          <w:rFonts w:eastAsia="Times New Roman" w:cs="Times New Roman"/>
          <w:szCs w:val="24"/>
        </w:rPr>
      </w:pPr>
      <w:r>
        <w:rPr>
          <w:rFonts w:eastAsia="Times New Roman" w:cs="Times New Roman"/>
          <w:szCs w:val="24"/>
        </w:rPr>
        <w:t xml:space="preserve">Demonstrate understanding of the professional roles of nursing, safe-guarding privacy, confidentiality and autonomy. </w:t>
      </w:r>
    </w:p>
    <w:p w14:paraId="76476E4D" w14:textId="284F8BAC" w:rsidR="00164215" w:rsidRDefault="00164215" w:rsidP="00164215">
      <w:pPr>
        <w:pStyle w:val="ListParagraph"/>
        <w:numPr>
          <w:ilvl w:val="0"/>
          <w:numId w:val="2"/>
        </w:numPr>
        <w:spacing w:after="0" w:line="240" w:lineRule="auto"/>
        <w:rPr>
          <w:rFonts w:eastAsia="Times New Roman" w:cs="Times New Roman"/>
          <w:szCs w:val="24"/>
        </w:rPr>
      </w:pPr>
      <w:r>
        <w:rPr>
          <w:rFonts w:eastAsia="Times New Roman" w:cs="Times New Roman"/>
          <w:szCs w:val="24"/>
        </w:rPr>
        <w:t xml:space="preserve">Demonstrate an understanding of critical thinking, the nursing process and basic elements of research. </w:t>
      </w:r>
    </w:p>
    <w:p w14:paraId="0EAE17AF" w14:textId="47B7BFD3" w:rsidR="00164215" w:rsidRDefault="00164215" w:rsidP="00164215">
      <w:pPr>
        <w:pStyle w:val="ListParagraph"/>
        <w:numPr>
          <w:ilvl w:val="0"/>
          <w:numId w:val="2"/>
        </w:numPr>
        <w:spacing w:after="0" w:line="240" w:lineRule="auto"/>
        <w:rPr>
          <w:rFonts w:eastAsia="Times New Roman" w:cs="Times New Roman"/>
          <w:szCs w:val="24"/>
        </w:rPr>
      </w:pPr>
      <w:r>
        <w:rPr>
          <w:rFonts w:eastAsia="Times New Roman" w:cs="Times New Roman"/>
          <w:szCs w:val="24"/>
        </w:rPr>
        <w:t xml:space="preserve">Describe the factors that create a culture of safety. </w:t>
      </w:r>
    </w:p>
    <w:p w14:paraId="6F46CB61" w14:textId="49523058" w:rsidR="00164215" w:rsidRDefault="00164215" w:rsidP="00164215">
      <w:pPr>
        <w:pStyle w:val="ListParagraph"/>
        <w:numPr>
          <w:ilvl w:val="0"/>
          <w:numId w:val="2"/>
        </w:numPr>
        <w:spacing w:after="0" w:line="240" w:lineRule="auto"/>
        <w:rPr>
          <w:rFonts w:eastAsia="Times New Roman" w:cs="Times New Roman"/>
          <w:szCs w:val="24"/>
        </w:rPr>
      </w:pPr>
      <w:r>
        <w:rPr>
          <w:rFonts w:eastAsia="Times New Roman" w:cs="Times New Roman"/>
          <w:szCs w:val="24"/>
        </w:rPr>
        <w:t xml:space="preserve">Identify the variety of information and communication technologies used in care settings. </w:t>
      </w:r>
    </w:p>
    <w:p w14:paraId="7115771C" w14:textId="718F6395" w:rsidR="00164215" w:rsidRPr="00164215" w:rsidRDefault="00164215" w:rsidP="00164215">
      <w:pPr>
        <w:pStyle w:val="ListParagraph"/>
        <w:numPr>
          <w:ilvl w:val="0"/>
          <w:numId w:val="2"/>
        </w:numPr>
        <w:spacing w:after="0" w:line="240" w:lineRule="auto"/>
        <w:rPr>
          <w:rFonts w:eastAsia="Times New Roman" w:cs="Times New Roman"/>
          <w:szCs w:val="24"/>
        </w:rPr>
      </w:pPr>
      <w:r w:rsidRPr="356FA8BB">
        <w:rPr>
          <w:rFonts w:eastAsia="Times New Roman" w:cs="Times New Roman"/>
        </w:rPr>
        <w:t xml:space="preserve">Identify the variety of professional communication techniques used in care setting to support teamwork and collaboration. </w:t>
      </w:r>
    </w:p>
    <w:p w14:paraId="751EDA0B" w14:textId="77777777" w:rsidR="00E85A60" w:rsidRDefault="444BCA0D" w:rsidP="356FA8BB">
      <w:pPr>
        <w:pStyle w:val="ListParagraph"/>
        <w:numPr>
          <w:ilvl w:val="0"/>
          <w:numId w:val="2"/>
        </w:numPr>
        <w:spacing w:after="0" w:line="240" w:lineRule="auto"/>
        <w:rPr>
          <w:rFonts w:eastAsia="Times New Roman" w:cs="Times New Roman"/>
        </w:rPr>
      </w:pPr>
      <w:r w:rsidRPr="356FA8BB">
        <w:rPr>
          <w:rFonts w:eastAsia="Times New Roman" w:cs="Times New Roman"/>
        </w:rPr>
        <w:t>Determine the impact of health disparities and social determinants on pharmacological outcomes.</w:t>
      </w:r>
    </w:p>
    <w:p w14:paraId="61A36FDD" w14:textId="795E8683" w:rsidR="444BCA0D" w:rsidRDefault="444BCA0D" w:rsidP="00E85A60">
      <w:pPr>
        <w:spacing w:after="0" w:line="240" w:lineRule="auto"/>
        <w:rPr>
          <w:rFonts w:eastAsia="Times New Roman" w:cs="Times New Roman"/>
        </w:rPr>
      </w:pPr>
    </w:p>
    <w:p w14:paraId="3A5B52A4" w14:textId="77777777" w:rsidR="00E85A60" w:rsidRPr="00E85A60" w:rsidRDefault="00E85A60" w:rsidP="00E85A60">
      <w:pPr>
        <w:spacing w:after="0" w:line="240" w:lineRule="auto"/>
        <w:rPr>
          <w:rFonts w:eastAsia="Times New Roman" w:cs="Times New Roman"/>
        </w:rPr>
      </w:pPr>
    </w:p>
    <w:p w14:paraId="43D66669" w14:textId="3E11B56B" w:rsidR="002D552E" w:rsidRPr="00931E3B" w:rsidRDefault="00931E3B" w:rsidP="4B8C93C8">
      <w:pPr>
        <w:pStyle w:val="ListParagraph"/>
        <w:numPr>
          <w:ilvl w:val="0"/>
          <w:numId w:val="1"/>
        </w:numPr>
        <w:spacing w:line="240" w:lineRule="auto"/>
        <w:rPr>
          <w:rFonts w:eastAsia="SimSun" w:cs="Mangal"/>
          <w:b/>
          <w:bCs/>
          <w:i/>
          <w:iCs/>
          <w:kern w:val="1"/>
          <w:lang w:eastAsia="zh-CN" w:bidi="hi-IN"/>
        </w:rPr>
      </w:pPr>
      <w:r w:rsidRPr="4B8C93C8">
        <w:rPr>
          <w:rFonts w:eastAsia="Times New Roman" w:cs="Times New Roman"/>
          <w:b/>
          <w:bCs/>
        </w:rPr>
        <w:lastRenderedPageBreak/>
        <w:t>ADOPTED TEXT(S)*:</w:t>
      </w:r>
      <w:r w:rsidRPr="4B8C93C8">
        <w:rPr>
          <w:rFonts w:eastAsia="SimSun" w:cs="Mangal"/>
          <w:b/>
          <w:bCs/>
          <w:i/>
          <w:iCs/>
          <w:kern w:val="1"/>
          <w:lang w:eastAsia="zh-CN" w:bidi="hi-IN"/>
        </w:rPr>
        <w:t xml:space="preserve"> </w:t>
      </w:r>
    </w:p>
    <w:p w14:paraId="55199973" w14:textId="54CDA49F" w:rsidR="00C76BEC" w:rsidRPr="00C76BEC" w:rsidRDefault="00C76BEC" w:rsidP="4B8C93C8">
      <w:pPr>
        <w:spacing w:after="0" w:line="240" w:lineRule="auto"/>
        <w:ind w:left="720"/>
        <w:rPr>
          <w:rFonts w:eastAsia="Times New Roman" w:cs="Times New Roman"/>
        </w:rPr>
      </w:pPr>
      <w:r w:rsidRPr="4B8C93C8">
        <w:rPr>
          <w:rFonts w:eastAsia="Times New Roman" w:cs="Times New Roman"/>
        </w:rPr>
        <w:t>Lilley, L.L.</w:t>
      </w:r>
      <w:r w:rsidR="00CF3854" w:rsidRPr="4B8C93C8">
        <w:rPr>
          <w:rFonts w:eastAsia="Times New Roman" w:cs="Times New Roman"/>
        </w:rPr>
        <w:t>,</w:t>
      </w:r>
      <w:r w:rsidRPr="4B8C93C8">
        <w:rPr>
          <w:rFonts w:eastAsia="Times New Roman" w:cs="Times New Roman"/>
        </w:rPr>
        <w:t xml:space="preserve"> Collins, S.R.</w:t>
      </w:r>
      <w:r w:rsidR="00CF3854" w:rsidRPr="4B8C93C8">
        <w:rPr>
          <w:rFonts w:eastAsia="Times New Roman" w:cs="Times New Roman"/>
        </w:rPr>
        <w:t>, &amp; Snyder, J.S.</w:t>
      </w:r>
      <w:r w:rsidRPr="4B8C93C8">
        <w:rPr>
          <w:rFonts w:eastAsia="Times New Roman" w:cs="Times New Roman"/>
        </w:rPr>
        <w:t xml:space="preserve"> (20</w:t>
      </w:r>
      <w:r w:rsidR="00CF3854" w:rsidRPr="4B8C93C8">
        <w:rPr>
          <w:rFonts w:eastAsia="Times New Roman" w:cs="Times New Roman"/>
        </w:rPr>
        <w:t>23</w:t>
      </w:r>
      <w:r w:rsidRPr="4B8C93C8">
        <w:rPr>
          <w:rFonts w:eastAsia="Times New Roman" w:cs="Times New Roman"/>
        </w:rPr>
        <w:t>). Pharmacology and the nursing process, (</w:t>
      </w:r>
      <w:r w:rsidR="00CF3854" w:rsidRPr="4B8C93C8">
        <w:rPr>
          <w:rFonts w:eastAsia="Times New Roman" w:cs="Times New Roman"/>
        </w:rPr>
        <w:t>10</w:t>
      </w:r>
      <w:r w:rsidRPr="4B8C93C8">
        <w:rPr>
          <w:rFonts w:eastAsia="Times New Roman" w:cs="Times New Roman"/>
        </w:rPr>
        <w:t xml:space="preserve">th), St. Louis: Mosby/Elsevier.  ISBN: </w:t>
      </w:r>
      <w:r w:rsidR="00CF3854" w:rsidRPr="4B8C93C8">
        <w:rPr>
          <w:rFonts w:eastAsia="Times New Roman" w:cs="Times New Roman"/>
        </w:rPr>
        <w:t>9780323827973</w:t>
      </w:r>
    </w:p>
    <w:p w14:paraId="356FCBC6" w14:textId="77777777" w:rsidR="00C76BEC" w:rsidRDefault="00C76BEC" w:rsidP="00C76BEC">
      <w:pPr>
        <w:spacing w:after="0" w:line="240" w:lineRule="auto"/>
        <w:rPr>
          <w:rFonts w:eastAsia="Times New Roman" w:cs="Times New Roman"/>
          <w:szCs w:val="24"/>
        </w:rPr>
      </w:pPr>
      <w:r>
        <w:rPr>
          <w:rFonts w:eastAsia="Times New Roman" w:cs="Times New Roman"/>
          <w:szCs w:val="24"/>
        </w:rPr>
        <w:tab/>
      </w:r>
    </w:p>
    <w:p w14:paraId="43D6666A" w14:textId="0FF61739" w:rsidR="002D552E" w:rsidRPr="00C76BEC" w:rsidRDefault="00C76BEC" w:rsidP="00C76BEC">
      <w:pPr>
        <w:spacing w:after="0" w:line="240" w:lineRule="auto"/>
        <w:rPr>
          <w:rFonts w:eastAsia="Times New Roman" w:cs="Times New Roman"/>
          <w:szCs w:val="24"/>
        </w:rPr>
      </w:pPr>
      <w:r>
        <w:rPr>
          <w:rFonts w:eastAsia="Times New Roman" w:cs="Times New Roman"/>
          <w:szCs w:val="24"/>
        </w:rPr>
        <w:tab/>
      </w:r>
      <w:r w:rsidRPr="00C76BEC">
        <w:rPr>
          <w:rFonts w:eastAsia="Times New Roman" w:cs="Times New Roman"/>
          <w:szCs w:val="24"/>
        </w:rPr>
        <w:t>(Included in program package if purchased previously)</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2BCCB607" w:rsidR="002D552E" w:rsidRDefault="002D552E" w:rsidP="002D552E">
      <w:pPr>
        <w:spacing w:after="0" w:line="240" w:lineRule="auto"/>
        <w:rPr>
          <w:rFonts w:eastAsia="Times New Roman" w:cs="Times New Roman"/>
          <w:b/>
          <w:szCs w:val="24"/>
        </w:rPr>
      </w:pPr>
    </w:p>
    <w:p w14:paraId="43D66670" w14:textId="12775599" w:rsidR="002D552E" w:rsidRPr="002D552E" w:rsidRDefault="002D552E" w:rsidP="4B8C93C8">
      <w:pPr>
        <w:pStyle w:val="ListParagraph"/>
        <w:numPr>
          <w:ilvl w:val="0"/>
          <w:numId w:val="1"/>
        </w:numPr>
        <w:spacing w:after="0" w:line="240" w:lineRule="auto"/>
        <w:rPr>
          <w:rFonts w:eastAsia="Times New Roman" w:cs="Times New Roman"/>
          <w:b/>
          <w:bCs/>
        </w:rPr>
      </w:pPr>
      <w:r w:rsidRPr="4B8C93C8">
        <w:rPr>
          <w:rFonts w:eastAsia="Times New Roman" w:cs="Times New Roman"/>
          <w:b/>
          <w:bCs/>
        </w:rPr>
        <w:t>OTHER REQUIRED MATERIALS: (SEE APPENDIX C FOR TECHNOLOGY REQUEST FORM)**</w:t>
      </w:r>
    </w:p>
    <w:p w14:paraId="43D66671" w14:textId="74D3A30E" w:rsidR="002D552E" w:rsidRDefault="002D552E" w:rsidP="002D552E">
      <w:pPr>
        <w:spacing w:after="0" w:line="240" w:lineRule="auto"/>
        <w:rPr>
          <w:rFonts w:eastAsia="Times New Roman" w:cs="Times New Roman"/>
          <w:b/>
          <w:szCs w:val="24"/>
        </w:rPr>
      </w:pPr>
    </w:p>
    <w:p w14:paraId="762333BD" w14:textId="65C71AB3" w:rsidR="00C76BEC" w:rsidRDefault="00C76BEC" w:rsidP="4B8C93C8">
      <w:pPr>
        <w:spacing w:after="0" w:line="240" w:lineRule="auto"/>
        <w:rPr>
          <w:rFonts w:eastAsia="Times New Roman" w:cs="Times New Roman"/>
        </w:rPr>
      </w:pPr>
      <w:r>
        <w:rPr>
          <w:rFonts w:eastAsia="Times New Roman" w:cs="Times New Roman"/>
          <w:b/>
          <w:szCs w:val="24"/>
        </w:rPr>
        <w:tab/>
      </w:r>
      <w:r w:rsidRPr="4B8C93C8">
        <w:rPr>
          <w:rFonts w:eastAsia="Times New Roman" w:cs="Times New Roman"/>
        </w:rPr>
        <w:t xml:space="preserve">Required learning resources from program eBook package may be utilized.  Elsevier’s </w:t>
      </w:r>
      <w:r>
        <w:rPr>
          <w:rFonts w:eastAsia="Times New Roman" w:cs="Times New Roman"/>
          <w:szCs w:val="24"/>
        </w:rPr>
        <w:tab/>
      </w:r>
      <w:r w:rsidR="57759265" w:rsidRPr="4B8C93C8">
        <w:rPr>
          <w:rFonts w:eastAsia="Times New Roman" w:cs="Times New Roman"/>
        </w:rPr>
        <w:t xml:space="preserve">       </w:t>
      </w:r>
      <w:r w:rsidRPr="4B8C93C8">
        <w:rPr>
          <w:rFonts w:eastAsia="Times New Roman" w:cs="Times New Roman"/>
        </w:rPr>
        <w:t xml:space="preserve">Nursing Concepts Online 2.0.  Desktop, laptop, or tablet running Windows 7 or later or </w:t>
      </w:r>
      <w:r>
        <w:rPr>
          <w:rFonts w:eastAsia="Times New Roman" w:cs="Times New Roman"/>
          <w:szCs w:val="24"/>
        </w:rPr>
        <w:tab/>
      </w:r>
      <w:r>
        <w:tab/>
      </w:r>
      <w:r w:rsidRPr="4B8C93C8">
        <w:rPr>
          <w:rFonts w:eastAsia="Times New Roman" w:cs="Times New Roman"/>
        </w:rPr>
        <w:t xml:space="preserve">Mac OSX 10.8 or later.  Not all required software/online resources will work with </w:t>
      </w:r>
      <w:r>
        <w:rPr>
          <w:rFonts w:eastAsia="Times New Roman" w:cs="Times New Roman"/>
          <w:szCs w:val="24"/>
        </w:rPr>
        <w:tab/>
      </w:r>
      <w:r w:rsidRPr="4B8C93C8">
        <w:rPr>
          <w:rFonts w:eastAsia="Times New Roman" w:cs="Times New Roman"/>
        </w:rPr>
        <w:t>Android or iOS.  High speed internet must be accessible.</w:t>
      </w:r>
    </w:p>
    <w:p w14:paraId="129EC21F" w14:textId="77777777" w:rsidR="00C76BEC" w:rsidRPr="00C76BEC" w:rsidRDefault="00C76BEC" w:rsidP="002D552E">
      <w:pPr>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509E1303" w14:textId="19391714" w:rsidR="00CF3854" w:rsidRPr="00CF3854" w:rsidRDefault="52CABDDD" w:rsidP="4B8C93C8">
      <w:pPr>
        <w:tabs>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spacing w:after="0"/>
        <w:ind w:left="360"/>
        <w:contextualSpacing/>
        <w:rPr>
          <w:rFonts w:ascii="Cambria" w:eastAsia="Times New Roman" w:hAnsi="Cambria" w:cs="Times New Roman"/>
          <w:sz w:val="22"/>
        </w:rPr>
      </w:pPr>
      <w:r w:rsidRPr="4B8C93C8">
        <w:rPr>
          <w:rFonts w:ascii="Cambria" w:eastAsia="Times New Roman" w:hAnsi="Cambria" w:cs="Times New Roman"/>
          <w:sz w:val="22"/>
        </w:rPr>
        <w:t xml:space="preserve">       </w:t>
      </w:r>
      <w:r w:rsidR="00CF3854" w:rsidRPr="4B8C93C8">
        <w:rPr>
          <w:rFonts w:ascii="Cambria" w:eastAsia="Times New Roman" w:hAnsi="Cambria" w:cs="Times New Roman"/>
          <w:sz w:val="22"/>
        </w:rPr>
        <w:t xml:space="preserve">To satisfactorily complete this course, the student must achieve a grade of C or above </w:t>
      </w:r>
      <w:r w:rsidR="22748560" w:rsidRPr="4B8C93C8">
        <w:rPr>
          <w:rFonts w:ascii="Cambria" w:eastAsia="Times New Roman" w:hAnsi="Cambria" w:cs="Times New Roman"/>
          <w:sz w:val="22"/>
        </w:rPr>
        <w:t xml:space="preserve">    </w:t>
      </w:r>
    </w:p>
    <w:p w14:paraId="797089E9" w14:textId="7057354F" w:rsidR="00CF3854" w:rsidRPr="00CF3854" w:rsidRDefault="22748560" w:rsidP="4B8C93C8">
      <w:pPr>
        <w:tabs>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spacing w:after="0"/>
        <w:ind w:left="360"/>
        <w:contextualSpacing/>
        <w:rPr>
          <w:rFonts w:ascii="Cambria" w:eastAsia="Times New Roman" w:hAnsi="Cambria" w:cs="Times New Roman"/>
          <w:sz w:val="22"/>
        </w:rPr>
      </w:pPr>
      <w:r w:rsidRPr="4B8C93C8">
        <w:rPr>
          <w:rFonts w:ascii="Cambria" w:eastAsia="Times New Roman" w:hAnsi="Cambria" w:cs="Times New Roman"/>
          <w:sz w:val="22"/>
        </w:rPr>
        <w:t xml:space="preserve">        </w:t>
      </w:r>
      <w:r w:rsidR="00CF3854" w:rsidRPr="4B8C93C8">
        <w:rPr>
          <w:rFonts w:ascii="Cambria" w:eastAsia="Times New Roman" w:hAnsi="Cambria" w:cs="Times New Roman"/>
          <w:sz w:val="22"/>
        </w:rPr>
        <w:t>according to the following system:</w:t>
      </w:r>
    </w:p>
    <w:p w14:paraId="6D679625" w14:textId="77777777" w:rsidR="00CF3854" w:rsidRPr="00CF3854" w:rsidRDefault="00CF3854" w:rsidP="00CF3854">
      <w:pPr>
        <w:tabs>
          <w:tab w:val="left" w:pos="-1214"/>
          <w:tab w:val="left" w:pos="-720"/>
          <w:tab w:val="left" w:pos="0"/>
          <w:tab w:val="left" w:pos="72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spacing w:after="0"/>
        <w:rPr>
          <w:rFonts w:ascii="Cambria" w:eastAsia="Times New Roman" w:hAnsi="Cambria" w:cs="Times New Roman"/>
          <w:sz w:val="22"/>
        </w:rPr>
      </w:pPr>
    </w:p>
    <w:p w14:paraId="39F7F5DD" w14:textId="77777777" w:rsidR="00CF3854" w:rsidRPr="00CF3854" w:rsidRDefault="00CF3854" w:rsidP="00CF3854">
      <w:pPr>
        <w:widowControl w:val="0"/>
        <w:tabs>
          <w:tab w:val="left" w:pos="-1214"/>
          <w:tab w:val="left" w:pos="-720"/>
          <w:tab w:val="left" w:pos="0"/>
          <w:tab w:val="left" w:pos="720"/>
          <w:tab w:val="left" w:pos="1296"/>
          <w:tab w:val="left" w:pos="1872"/>
          <w:tab w:val="left" w:pos="3024"/>
          <w:tab w:val="left" w:pos="342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contextualSpacing/>
        <w:rPr>
          <w:rFonts w:ascii="Cambria" w:eastAsia="Times New Roman" w:hAnsi="Cambria" w:cs="Times New Roman"/>
          <w:sz w:val="22"/>
        </w:rPr>
      </w:pPr>
      <w:r w:rsidRPr="00CF3854">
        <w:rPr>
          <w:rFonts w:ascii="Cambria" w:eastAsia="Times New Roman" w:hAnsi="Cambria" w:cs="Times New Roman"/>
          <w:sz w:val="22"/>
        </w:rPr>
        <w:t xml:space="preserve">93 – 100 </w:t>
      </w:r>
      <w:r w:rsidRPr="00CF3854">
        <w:rPr>
          <w:rFonts w:ascii="Cambria" w:eastAsia="Times New Roman" w:hAnsi="Cambria" w:cs="Times New Roman"/>
          <w:sz w:val="22"/>
        </w:rPr>
        <w:tab/>
        <w:t>=</w:t>
      </w:r>
      <w:r w:rsidRPr="00CF3854">
        <w:rPr>
          <w:rFonts w:ascii="Cambria" w:eastAsia="Times New Roman" w:hAnsi="Cambria" w:cs="Times New Roman"/>
          <w:sz w:val="22"/>
        </w:rPr>
        <w:tab/>
        <w:t>A</w:t>
      </w:r>
    </w:p>
    <w:p w14:paraId="789FF2D4" w14:textId="77777777" w:rsidR="00CF3854" w:rsidRPr="00CF3854" w:rsidRDefault="00CF3854" w:rsidP="00CF3854">
      <w:pPr>
        <w:widowControl w:val="0"/>
        <w:tabs>
          <w:tab w:val="left" w:pos="-1214"/>
          <w:tab w:val="left" w:pos="-720"/>
          <w:tab w:val="left" w:pos="0"/>
          <w:tab w:val="left" w:pos="720"/>
          <w:tab w:val="left" w:pos="1296"/>
          <w:tab w:val="left" w:pos="1872"/>
          <w:tab w:val="left" w:pos="3024"/>
          <w:tab w:val="left" w:pos="342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contextualSpacing/>
        <w:rPr>
          <w:rFonts w:ascii="Cambria" w:eastAsia="Times New Roman" w:hAnsi="Cambria" w:cs="Times New Roman"/>
          <w:sz w:val="22"/>
        </w:rPr>
      </w:pPr>
      <w:r w:rsidRPr="00CF3854">
        <w:rPr>
          <w:rFonts w:ascii="Cambria" w:eastAsia="Times New Roman" w:hAnsi="Cambria" w:cs="Times New Roman"/>
          <w:sz w:val="22"/>
        </w:rPr>
        <w:t xml:space="preserve">85 –  92.99  </w:t>
      </w:r>
      <w:r w:rsidRPr="00CF3854">
        <w:rPr>
          <w:rFonts w:ascii="Cambria" w:eastAsia="Times New Roman" w:hAnsi="Cambria" w:cs="Times New Roman"/>
          <w:sz w:val="22"/>
        </w:rPr>
        <w:tab/>
        <w:t>=</w:t>
      </w:r>
      <w:r w:rsidRPr="00CF3854">
        <w:rPr>
          <w:rFonts w:ascii="Cambria" w:eastAsia="Times New Roman" w:hAnsi="Cambria" w:cs="Times New Roman"/>
          <w:sz w:val="22"/>
        </w:rPr>
        <w:tab/>
        <w:t>B</w:t>
      </w:r>
    </w:p>
    <w:p w14:paraId="2B339D29" w14:textId="77777777" w:rsidR="00CF3854" w:rsidRPr="00CF3854" w:rsidRDefault="00CF3854" w:rsidP="00CF3854">
      <w:pPr>
        <w:widowControl w:val="0"/>
        <w:tabs>
          <w:tab w:val="left" w:pos="-1214"/>
          <w:tab w:val="left" w:pos="-720"/>
          <w:tab w:val="left" w:pos="0"/>
          <w:tab w:val="left" w:pos="720"/>
          <w:tab w:val="left" w:pos="1296"/>
          <w:tab w:val="left" w:pos="1872"/>
          <w:tab w:val="left" w:pos="3024"/>
          <w:tab w:val="left" w:pos="342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contextualSpacing/>
        <w:rPr>
          <w:rFonts w:ascii="Cambria" w:eastAsia="Times New Roman" w:hAnsi="Cambria" w:cs="Times New Roman"/>
          <w:sz w:val="22"/>
        </w:rPr>
      </w:pPr>
      <w:r w:rsidRPr="00CF3854">
        <w:rPr>
          <w:rFonts w:ascii="Cambria" w:eastAsia="Times New Roman" w:hAnsi="Cambria" w:cs="Times New Roman"/>
          <w:sz w:val="22"/>
        </w:rPr>
        <w:t xml:space="preserve">80 –  84.99  </w:t>
      </w:r>
      <w:r w:rsidRPr="00CF3854">
        <w:rPr>
          <w:rFonts w:ascii="Cambria" w:eastAsia="Times New Roman" w:hAnsi="Cambria" w:cs="Times New Roman"/>
          <w:sz w:val="22"/>
        </w:rPr>
        <w:tab/>
        <w:t>=</w:t>
      </w:r>
      <w:r w:rsidRPr="00CF3854">
        <w:rPr>
          <w:rFonts w:ascii="Cambria" w:eastAsia="Times New Roman" w:hAnsi="Cambria" w:cs="Times New Roman"/>
          <w:sz w:val="22"/>
        </w:rPr>
        <w:tab/>
        <w:t>C</w:t>
      </w:r>
    </w:p>
    <w:p w14:paraId="76210854" w14:textId="77777777" w:rsidR="00CF3854" w:rsidRPr="00CF3854" w:rsidRDefault="00CF3854" w:rsidP="00CF3854">
      <w:pPr>
        <w:widowControl w:val="0"/>
        <w:tabs>
          <w:tab w:val="left" w:pos="-1214"/>
          <w:tab w:val="left" w:pos="-720"/>
          <w:tab w:val="left" w:pos="0"/>
          <w:tab w:val="left" w:pos="720"/>
          <w:tab w:val="left" w:pos="1296"/>
          <w:tab w:val="left" w:pos="1872"/>
          <w:tab w:val="left" w:pos="3024"/>
          <w:tab w:val="left" w:pos="342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contextualSpacing/>
        <w:rPr>
          <w:rFonts w:ascii="Cambria" w:eastAsia="Times New Roman" w:hAnsi="Cambria" w:cs="Times New Roman"/>
          <w:sz w:val="22"/>
        </w:rPr>
      </w:pPr>
      <w:r w:rsidRPr="00CF3854">
        <w:rPr>
          <w:rFonts w:ascii="Cambria" w:eastAsia="Times New Roman" w:hAnsi="Cambria" w:cs="Times New Roman"/>
          <w:sz w:val="22"/>
        </w:rPr>
        <w:t xml:space="preserve">72 –  79.99  </w:t>
      </w:r>
      <w:r w:rsidRPr="00CF3854">
        <w:rPr>
          <w:rFonts w:ascii="Cambria" w:eastAsia="Times New Roman" w:hAnsi="Cambria" w:cs="Times New Roman"/>
          <w:sz w:val="22"/>
        </w:rPr>
        <w:tab/>
        <w:t>=</w:t>
      </w:r>
      <w:r w:rsidRPr="00CF3854">
        <w:rPr>
          <w:rFonts w:ascii="Cambria" w:eastAsia="Times New Roman" w:hAnsi="Cambria" w:cs="Times New Roman"/>
          <w:sz w:val="22"/>
        </w:rPr>
        <w:tab/>
        <w:t>D</w:t>
      </w:r>
    </w:p>
    <w:p w14:paraId="6C4987EF" w14:textId="77777777" w:rsidR="00CF3854" w:rsidRPr="00CF3854" w:rsidRDefault="00CF3854" w:rsidP="00CF3854">
      <w:pPr>
        <w:widowControl w:val="0"/>
        <w:tabs>
          <w:tab w:val="left" w:pos="-1214"/>
          <w:tab w:val="left" w:pos="-720"/>
          <w:tab w:val="left" w:pos="0"/>
          <w:tab w:val="left" w:pos="720"/>
          <w:tab w:val="left" w:pos="1296"/>
          <w:tab w:val="left" w:pos="1872"/>
          <w:tab w:val="left" w:pos="3024"/>
          <w:tab w:val="left" w:pos="342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contextualSpacing/>
        <w:rPr>
          <w:rFonts w:ascii="Cambria" w:eastAsia="Times New Roman" w:hAnsi="Cambria" w:cs="Times New Roman"/>
          <w:sz w:val="22"/>
        </w:rPr>
      </w:pPr>
      <w:r w:rsidRPr="00CF3854">
        <w:rPr>
          <w:rFonts w:ascii="Cambria" w:eastAsia="Times New Roman" w:hAnsi="Cambria" w:cs="Times New Roman"/>
          <w:sz w:val="22"/>
        </w:rPr>
        <w:t xml:space="preserve">  0 –  71.99</w:t>
      </w:r>
      <w:r w:rsidRPr="00CF3854">
        <w:rPr>
          <w:rFonts w:ascii="Cambria" w:eastAsia="Times New Roman" w:hAnsi="Cambria" w:cs="Times New Roman"/>
          <w:sz w:val="22"/>
        </w:rPr>
        <w:tab/>
        <w:t>=</w:t>
      </w:r>
      <w:r w:rsidRPr="00CF3854">
        <w:rPr>
          <w:rFonts w:ascii="Cambria" w:eastAsia="Times New Roman" w:hAnsi="Cambria" w:cs="Times New Roman"/>
          <w:sz w:val="22"/>
        </w:rPr>
        <w:tab/>
        <w:t>F</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64BEFA57" w:rsidR="002D552E" w:rsidRPr="00C76BEC"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0D96D033" w14:textId="37B657AA" w:rsidR="00C76BEC" w:rsidRDefault="00C76BEC" w:rsidP="00C76BEC">
      <w:pPr>
        <w:pStyle w:val="ListParagraph"/>
        <w:widowControl w:val="0"/>
        <w:autoSpaceDE w:val="0"/>
        <w:autoSpaceDN w:val="0"/>
        <w:adjustRightInd w:val="0"/>
        <w:spacing w:after="0" w:line="240" w:lineRule="auto"/>
        <w:rPr>
          <w:rFonts w:eastAsia="Times New Roman" w:cs="Times New Roman"/>
          <w:b/>
          <w:szCs w:val="24"/>
        </w:rPr>
      </w:pPr>
    </w:p>
    <w:p w14:paraId="7FF86B28" w14:textId="77777777" w:rsidR="00C76BEC" w:rsidRPr="00C76BEC" w:rsidRDefault="00C76BEC" w:rsidP="00C76BEC">
      <w:pPr>
        <w:pStyle w:val="ListParagraph"/>
        <w:widowControl w:val="0"/>
        <w:autoSpaceDE w:val="0"/>
        <w:autoSpaceDN w:val="0"/>
        <w:adjustRightInd w:val="0"/>
        <w:spacing w:after="0" w:line="240" w:lineRule="auto"/>
        <w:rPr>
          <w:rFonts w:eastAsia="Times New Roman" w:cs="Times New Roman"/>
          <w:szCs w:val="24"/>
        </w:rPr>
      </w:pPr>
      <w:r w:rsidRPr="00C76BEC">
        <w:rPr>
          <w:rFonts w:eastAsia="Times New Roman" w:cs="Times New Roman"/>
          <w:szCs w:val="24"/>
        </w:rPr>
        <w:t xml:space="preserve">Knowledge is evaluated through performance evaluation of student’s ability to meet objectives related to the lecture component of course.  Students will be informed of the specific evaluation tool and their respective values on the first day of class. </w:t>
      </w:r>
    </w:p>
    <w:p w14:paraId="7833D7F6" w14:textId="77777777" w:rsidR="00C76BEC" w:rsidRPr="00C76BEC" w:rsidRDefault="00C76BEC" w:rsidP="00C76BEC">
      <w:pPr>
        <w:pStyle w:val="ListParagraph"/>
        <w:widowControl w:val="0"/>
        <w:autoSpaceDE w:val="0"/>
        <w:autoSpaceDN w:val="0"/>
        <w:adjustRightInd w:val="0"/>
        <w:spacing w:after="0" w:line="240" w:lineRule="auto"/>
        <w:rPr>
          <w:rFonts w:eastAsia="Times New Roman" w:cs="Times New Roman"/>
          <w:szCs w:val="24"/>
        </w:rPr>
      </w:pPr>
    </w:p>
    <w:p w14:paraId="694DD6F9" w14:textId="79A80580" w:rsidR="00C76BEC" w:rsidRDefault="00C76BEC" w:rsidP="00C76BEC">
      <w:pPr>
        <w:pStyle w:val="ListParagraph"/>
        <w:widowControl w:val="0"/>
        <w:autoSpaceDE w:val="0"/>
        <w:autoSpaceDN w:val="0"/>
        <w:adjustRightInd w:val="0"/>
        <w:spacing w:after="0" w:line="240" w:lineRule="auto"/>
        <w:rPr>
          <w:rFonts w:eastAsia="Times New Roman" w:cs="Times New Roman"/>
          <w:szCs w:val="24"/>
        </w:rPr>
      </w:pPr>
      <w:r w:rsidRPr="00C76BEC">
        <w:rPr>
          <w:rFonts w:eastAsia="Times New Roman" w:cs="Times New Roman"/>
          <w:szCs w:val="24"/>
        </w:rPr>
        <w:t>Standardized testing will be completed per policy.</w:t>
      </w:r>
    </w:p>
    <w:p w14:paraId="3DE7E6FA" w14:textId="0494D8D2" w:rsidR="00CF3854" w:rsidRDefault="00CF3854" w:rsidP="00C76BEC">
      <w:pPr>
        <w:pStyle w:val="ListParagraph"/>
        <w:widowControl w:val="0"/>
        <w:autoSpaceDE w:val="0"/>
        <w:autoSpaceDN w:val="0"/>
        <w:adjustRightInd w:val="0"/>
        <w:spacing w:after="0" w:line="240" w:lineRule="auto"/>
        <w:rPr>
          <w:rFonts w:eastAsia="Times New Roman" w:cs="Times New Roman"/>
          <w:szCs w:val="24"/>
        </w:rPr>
      </w:pPr>
    </w:p>
    <w:p w14:paraId="156DA71F" w14:textId="77777777" w:rsidR="00CF3854" w:rsidRPr="00CF3854" w:rsidRDefault="00CF3854" w:rsidP="00CF3854">
      <w:pPr>
        <w:pStyle w:val="ListParagraph"/>
        <w:widowControl w:val="0"/>
        <w:autoSpaceDE w:val="0"/>
        <w:autoSpaceDN w:val="0"/>
        <w:adjustRightInd w:val="0"/>
        <w:spacing w:line="240" w:lineRule="auto"/>
        <w:rPr>
          <w:rFonts w:eastAsia="Times New Roman" w:cs="Times New Roman"/>
          <w:szCs w:val="24"/>
        </w:rPr>
      </w:pPr>
      <w:r w:rsidRPr="00CF3854">
        <w:rPr>
          <w:rFonts w:eastAsia="Times New Roman" w:cs="Times New Roman"/>
          <w:szCs w:val="24"/>
        </w:rPr>
        <w:t xml:space="preserve">Remediation is required if a score of 79 or lower is obtained on any unit exam. The student must meet with the instructor after an unsuccessful exam and an individual remediation plan will be determined at that time.  Remediation must be completed before taking the next unit exam. </w:t>
      </w:r>
    </w:p>
    <w:p w14:paraId="5D4E9527" w14:textId="6450848E" w:rsidR="00CF3854" w:rsidRDefault="00CF3854" w:rsidP="00C76BEC">
      <w:pPr>
        <w:pStyle w:val="ListParagraph"/>
        <w:widowControl w:val="0"/>
        <w:autoSpaceDE w:val="0"/>
        <w:autoSpaceDN w:val="0"/>
        <w:adjustRightInd w:val="0"/>
        <w:spacing w:after="0" w:line="240" w:lineRule="auto"/>
        <w:rPr>
          <w:rFonts w:eastAsia="Times New Roman" w:cs="Times New Roman"/>
          <w:szCs w:val="24"/>
        </w:rPr>
      </w:pPr>
    </w:p>
    <w:p w14:paraId="7FFA2981" w14:textId="3B17259C" w:rsidR="004D4D14" w:rsidRDefault="004D4D14" w:rsidP="00C76BEC">
      <w:pPr>
        <w:pStyle w:val="ListParagraph"/>
        <w:widowControl w:val="0"/>
        <w:autoSpaceDE w:val="0"/>
        <w:autoSpaceDN w:val="0"/>
        <w:adjustRightInd w:val="0"/>
        <w:spacing w:after="0" w:line="240" w:lineRule="auto"/>
        <w:rPr>
          <w:rFonts w:eastAsia="Times New Roman" w:cs="Times New Roman"/>
          <w:szCs w:val="24"/>
        </w:rPr>
      </w:pPr>
    </w:p>
    <w:p w14:paraId="7E397659" w14:textId="7D7E326F" w:rsidR="004D4D14" w:rsidRPr="00164215" w:rsidRDefault="004D4D14" w:rsidP="00164215">
      <w:pPr>
        <w:widowControl w:val="0"/>
        <w:autoSpaceDE w:val="0"/>
        <w:autoSpaceDN w:val="0"/>
        <w:adjustRightInd w:val="0"/>
        <w:spacing w:after="0" w:line="240" w:lineRule="auto"/>
        <w:rPr>
          <w:rFonts w:eastAsia="Times New Roman" w:cs="Times New Roman"/>
          <w:szCs w:val="24"/>
        </w:rPr>
      </w:pPr>
    </w:p>
    <w:p w14:paraId="6D61C123" w14:textId="77777777" w:rsidR="004D4D14" w:rsidRPr="00C76BEC" w:rsidRDefault="004D4D14" w:rsidP="00C76BEC">
      <w:pPr>
        <w:pStyle w:val="ListParagraph"/>
        <w:widowControl w:val="0"/>
        <w:autoSpaceDE w:val="0"/>
        <w:autoSpaceDN w:val="0"/>
        <w:adjustRightInd w:val="0"/>
        <w:spacing w:after="0" w:line="240" w:lineRule="auto"/>
        <w:rPr>
          <w:rFonts w:eastAsia="Times New Roman" w:cs="Times New Roman"/>
          <w:szCs w:val="24"/>
        </w:rPr>
      </w:pP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17"/>
        <w:gridCol w:w="3387"/>
        <w:gridCol w:w="1396"/>
      </w:tblGrid>
      <w:tr w:rsidR="002D552E" w:rsidRPr="003A420D" w14:paraId="43D66686" w14:textId="77777777" w:rsidTr="004D4D14">
        <w:trPr>
          <w:trHeight w:val="197"/>
        </w:trPr>
        <w:tc>
          <w:tcPr>
            <w:tcW w:w="1517"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87"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4D4D14">
        <w:trPr>
          <w:trHeight w:val="193"/>
        </w:trPr>
        <w:tc>
          <w:tcPr>
            <w:tcW w:w="1517" w:type="dxa"/>
            <w:vAlign w:val="center"/>
          </w:tcPr>
          <w:p w14:paraId="4528B7EF" w14:textId="77777777" w:rsidR="002D552E" w:rsidRDefault="004D4D14" w:rsidP="00A219F4">
            <w:pPr>
              <w:pStyle w:val="ListParagraph"/>
              <w:ind w:left="38" w:hanging="38"/>
              <w:jc w:val="center"/>
              <w:rPr>
                <w:rFonts w:cs="Times New Roman"/>
                <w:sz w:val="18"/>
                <w:szCs w:val="18"/>
              </w:rPr>
            </w:pPr>
            <w:r>
              <w:rPr>
                <w:rFonts w:cs="Times New Roman"/>
                <w:sz w:val="18"/>
                <w:szCs w:val="18"/>
              </w:rPr>
              <w:t>Exams</w:t>
            </w:r>
          </w:p>
          <w:p w14:paraId="43D66687" w14:textId="0CFE5FF1" w:rsidR="004D4D14" w:rsidRPr="002D552E" w:rsidRDefault="004D4D14" w:rsidP="00A219F4">
            <w:pPr>
              <w:pStyle w:val="ListParagraph"/>
              <w:ind w:left="38" w:hanging="38"/>
              <w:jc w:val="center"/>
              <w:rPr>
                <w:rFonts w:cs="Times New Roman"/>
                <w:sz w:val="18"/>
                <w:szCs w:val="18"/>
              </w:rPr>
            </w:pPr>
            <w:r>
              <w:rPr>
                <w:rFonts w:cs="Times New Roman"/>
                <w:sz w:val="18"/>
                <w:szCs w:val="18"/>
              </w:rPr>
              <w:t>(5x14)</w:t>
            </w:r>
          </w:p>
        </w:tc>
        <w:tc>
          <w:tcPr>
            <w:tcW w:w="3387" w:type="dxa"/>
            <w:vAlign w:val="center"/>
          </w:tcPr>
          <w:p w14:paraId="43D66688" w14:textId="058B3DA0" w:rsidR="002D552E" w:rsidRPr="002D552E" w:rsidRDefault="004D4D14" w:rsidP="00A219F4">
            <w:pPr>
              <w:pStyle w:val="ListParagraph"/>
              <w:ind w:hanging="720"/>
              <w:jc w:val="center"/>
              <w:rPr>
                <w:rFonts w:cs="Times New Roman"/>
                <w:sz w:val="18"/>
                <w:szCs w:val="18"/>
              </w:rPr>
            </w:pPr>
            <w:r>
              <w:rPr>
                <w:rFonts w:cs="Times New Roman"/>
                <w:sz w:val="18"/>
                <w:szCs w:val="18"/>
              </w:rPr>
              <w:t>700</w:t>
            </w:r>
          </w:p>
        </w:tc>
        <w:tc>
          <w:tcPr>
            <w:tcW w:w="1396" w:type="dxa"/>
            <w:vAlign w:val="center"/>
          </w:tcPr>
          <w:p w14:paraId="43D66689" w14:textId="135839EC" w:rsidR="002D552E" w:rsidRPr="002D552E" w:rsidRDefault="004D4D14" w:rsidP="00A219F4">
            <w:pPr>
              <w:pStyle w:val="ListParagraph"/>
              <w:ind w:hanging="720"/>
              <w:jc w:val="center"/>
              <w:rPr>
                <w:rFonts w:cs="Times New Roman"/>
                <w:sz w:val="18"/>
                <w:szCs w:val="18"/>
              </w:rPr>
            </w:pPr>
            <w:r>
              <w:rPr>
                <w:rFonts w:cs="Times New Roman"/>
                <w:sz w:val="18"/>
                <w:szCs w:val="18"/>
              </w:rPr>
              <w:t>7</w:t>
            </w:r>
            <w:r w:rsidR="002D552E" w:rsidRPr="002D552E">
              <w:rPr>
                <w:rFonts w:cs="Times New Roman"/>
                <w:sz w:val="18"/>
                <w:szCs w:val="18"/>
              </w:rPr>
              <w:t>0%</w:t>
            </w:r>
          </w:p>
        </w:tc>
      </w:tr>
      <w:tr w:rsidR="002D552E" w:rsidRPr="003A420D" w14:paraId="43D6668E" w14:textId="77777777" w:rsidTr="004D4D14">
        <w:trPr>
          <w:trHeight w:val="193"/>
        </w:trPr>
        <w:tc>
          <w:tcPr>
            <w:tcW w:w="1517" w:type="dxa"/>
            <w:vAlign w:val="center"/>
          </w:tcPr>
          <w:p w14:paraId="679F08A5" w14:textId="77777777" w:rsidR="002D552E" w:rsidRDefault="004D4D14" w:rsidP="00A219F4">
            <w:pPr>
              <w:pStyle w:val="ListParagraph"/>
              <w:ind w:left="38" w:hanging="38"/>
              <w:jc w:val="center"/>
              <w:rPr>
                <w:rFonts w:cs="Times New Roman"/>
                <w:sz w:val="18"/>
                <w:szCs w:val="18"/>
              </w:rPr>
            </w:pPr>
            <w:r>
              <w:rPr>
                <w:rFonts w:cs="Times New Roman"/>
                <w:sz w:val="18"/>
                <w:szCs w:val="18"/>
              </w:rPr>
              <w:t>Final Exam</w:t>
            </w:r>
          </w:p>
          <w:p w14:paraId="43D6668B" w14:textId="147E4C6F" w:rsidR="004D4D14" w:rsidRPr="002D552E" w:rsidRDefault="004D4D14" w:rsidP="00A219F4">
            <w:pPr>
              <w:pStyle w:val="ListParagraph"/>
              <w:ind w:left="38" w:hanging="38"/>
              <w:jc w:val="center"/>
              <w:rPr>
                <w:rFonts w:cs="Times New Roman"/>
                <w:sz w:val="18"/>
                <w:szCs w:val="18"/>
              </w:rPr>
            </w:pPr>
            <w:r>
              <w:rPr>
                <w:rFonts w:cs="Times New Roman"/>
                <w:sz w:val="18"/>
                <w:szCs w:val="18"/>
              </w:rPr>
              <w:t>(1x30)</w:t>
            </w:r>
          </w:p>
        </w:tc>
        <w:tc>
          <w:tcPr>
            <w:tcW w:w="3387" w:type="dxa"/>
            <w:vAlign w:val="center"/>
          </w:tcPr>
          <w:p w14:paraId="43D6668C" w14:textId="5C3ACEAA" w:rsidR="002D552E" w:rsidRPr="002D552E" w:rsidRDefault="004D4D14" w:rsidP="00A219F4">
            <w:pPr>
              <w:pStyle w:val="ListParagraph"/>
              <w:ind w:hanging="720"/>
              <w:jc w:val="center"/>
              <w:rPr>
                <w:rFonts w:cs="Times New Roman"/>
                <w:sz w:val="18"/>
                <w:szCs w:val="18"/>
              </w:rPr>
            </w:pPr>
            <w:r>
              <w:rPr>
                <w:rFonts w:cs="Times New Roman"/>
                <w:sz w:val="18"/>
                <w:szCs w:val="18"/>
              </w:rPr>
              <w:t>3</w:t>
            </w:r>
            <w:r w:rsidR="002D552E" w:rsidRPr="002D552E">
              <w:rPr>
                <w:rFonts w:cs="Times New Roman"/>
                <w:sz w:val="18"/>
                <w:szCs w:val="18"/>
              </w:rPr>
              <w:t>00</w:t>
            </w:r>
          </w:p>
        </w:tc>
        <w:tc>
          <w:tcPr>
            <w:tcW w:w="1396" w:type="dxa"/>
            <w:vAlign w:val="center"/>
          </w:tcPr>
          <w:p w14:paraId="43D6668D" w14:textId="30BD2C12" w:rsidR="002D552E" w:rsidRPr="002D552E" w:rsidRDefault="004D4D14" w:rsidP="00A219F4">
            <w:pPr>
              <w:pStyle w:val="ListParagraph"/>
              <w:ind w:hanging="720"/>
              <w:jc w:val="center"/>
              <w:rPr>
                <w:rFonts w:cs="Times New Roman"/>
                <w:sz w:val="18"/>
                <w:szCs w:val="18"/>
              </w:rPr>
            </w:pPr>
            <w:r>
              <w:rPr>
                <w:rFonts w:cs="Times New Roman"/>
                <w:sz w:val="18"/>
                <w:szCs w:val="18"/>
              </w:rPr>
              <w:t>3</w:t>
            </w:r>
            <w:r w:rsidR="002D552E" w:rsidRPr="002D552E">
              <w:rPr>
                <w:rFonts w:cs="Times New Roman"/>
                <w:sz w:val="18"/>
                <w:szCs w:val="18"/>
              </w:rPr>
              <w:t>0%</w:t>
            </w:r>
          </w:p>
        </w:tc>
      </w:tr>
      <w:tr w:rsidR="002D552E" w:rsidRPr="003A420D" w14:paraId="43D666A2" w14:textId="77777777" w:rsidTr="004D4D14">
        <w:trPr>
          <w:trHeight w:val="193"/>
        </w:trPr>
        <w:tc>
          <w:tcPr>
            <w:tcW w:w="1517"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87"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0AC6732C" w:rsidR="002D552E" w:rsidRDefault="002D552E" w:rsidP="002D552E">
      <w:pPr>
        <w:widowControl w:val="0"/>
        <w:autoSpaceDE w:val="0"/>
        <w:autoSpaceDN w:val="0"/>
        <w:adjustRightInd w:val="0"/>
        <w:spacing w:after="0" w:line="240" w:lineRule="auto"/>
        <w:rPr>
          <w:rFonts w:eastAsia="Times New Roman" w:cs="Times New Roman"/>
          <w:b/>
          <w:szCs w:val="24"/>
        </w:rPr>
      </w:pPr>
    </w:p>
    <w:p w14:paraId="7A3D14EE" w14:textId="1A094F1F" w:rsidR="00C76BEC" w:rsidRDefault="00C76BEC" w:rsidP="4B8C93C8">
      <w:pPr>
        <w:widowControl w:val="0"/>
        <w:autoSpaceDE w:val="0"/>
        <w:autoSpaceDN w:val="0"/>
        <w:adjustRightInd w:val="0"/>
        <w:spacing w:after="0" w:line="240" w:lineRule="auto"/>
        <w:rPr>
          <w:rFonts w:eastAsia="Times New Roman" w:cs="Times New Roman"/>
        </w:rPr>
      </w:pPr>
      <w:r>
        <w:rPr>
          <w:rFonts w:eastAsia="Times New Roman" w:cs="Times New Roman"/>
          <w:szCs w:val="24"/>
        </w:rPr>
        <w:tab/>
      </w:r>
      <w:r w:rsidRPr="4B8C93C8">
        <w:rPr>
          <w:rFonts w:eastAsia="Times New Roman" w:cs="Times New Roman"/>
        </w:rPr>
        <w:t xml:space="preserve">Concept based education featuring exemplars to demonstrate concepts, reinforced with </w:t>
      </w:r>
      <w:r>
        <w:rPr>
          <w:rFonts w:eastAsia="Times New Roman" w:cs="Times New Roman"/>
          <w:szCs w:val="24"/>
        </w:rPr>
        <w:tab/>
      </w:r>
      <w:r>
        <w:tab/>
      </w:r>
      <w:r w:rsidRPr="4B8C93C8">
        <w:rPr>
          <w:rFonts w:eastAsia="Times New Roman" w:cs="Times New Roman"/>
        </w:rPr>
        <w:t xml:space="preserve">lecture, discussion, group activities, assignments, critical thinking exercises, and course </w:t>
      </w:r>
      <w:r>
        <w:rPr>
          <w:rFonts w:eastAsia="Times New Roman" w:cs="Times New Roman"/>
          <w:szCs w:val="24"/>
        </w:rPr>
        <w:tab/>
      </w:r>
      <w:r w:rsidRPr="4B8C93C8">
        <w:rPr>
          <w:rFonts w:eastAsia="Times New Roman" w:cs="Times New Roman"/>
        </w:rPr>
        <w:t>examinations to optimize student learning.</w:t>
      </w:r>
    </w:p>
    <w:p w14:paraId="27787029" w14:textId="77777777" w:rsidR="00C76BEC" w:rsidRPr="00C76BEC" w:rsidRDefault="00C76BEC" w:rsidP="002D552E">
      <w:pPr>
        <w:widowControl w:val="0"/>
        <w:autoSpaceDE w:val="0"/>
        <w:autoSpaceDN w:val="0"/>
        <w:adjustRightInd w:val="0"/>
        <w:spacing w:after="0" w:line="240" w:lineRule="auto"/>
        <w:rPr>
          <w:rFonts w:eastAsia="Times New Roman" w:cs="Times New Roman"/>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37D972D3"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w:t>
      </w:r>
      <w:r w:rsidR="00D62238">
        <w:rPr>
          <w:b/>
          <w:i/>
          <w:szCs w:val="24"/>
        </w:rPr>
        <w:t xml:space="preserve"> outline with learning outcome</w:t>
      </w:r>
      <w:r w:rsidRPr="0051463C">
        <w:rPr>
          <w:b/>
          <w:i/>
          <w:szCs w:val="24"/>
        </w:rPr>
        <w:t>s tied to assignments / topics.</w:t>
      </w:r>
      <w:r>
        <w:rPr>
          <w:b/>
          <w:i/>
          <w:szCs w:val="24"/>
        </w:rPr>
        <w:t>)</w:t>
      </w:r>
    </w:p>
    <w:p w14:paraId="0FC494B4" w14:textId="0A82FD5C" w:rsidR="003656D3" w:rsidRDefault="003656D3" w:rsidP="002D552E">
      <w:pPr>
        <w:widowControl w:val="0"/>
        <w:autoSpaceDE w:val="0"/>
        <w:autoSpaceDN w:val="0"/>
        <w:adjustRightInd w:val="0"/>
        <w:spacing w:after="0" w:line="240" w:lineRule="auto"/>
        <w:rPr>
          <w:rFonts w:eastAsia="Times New Roman" w:cs="Times New Roman"/>
          <w:b/>
          <w:szCs w:val="24"/>
        </w:rPr>
      </w:pPr>
    </w:p>
    <w:p w14:paraId="5E3E6599" w14:textId="21994346" w:rsidR="00C76BEC" w:rsidRDefault="00C76BEC" w:rsidP="4B8C93C8">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4B8C93C8">
        <w:rPr>
          <w:rFonts w:eastAsia="Times New Roman" w:cs="Times New Roman"/>
        </w:rPr>
        <w:t xml:space="preserve">The instructor will incorporate the following concepts related to professional nursing </w:t>
      </w:r>
      <w:r>
        <w:rPr>
          <w:rFonts w:eastAsia="Times New Roman" w:cs="Times New Roman"/>
          <w:szCs w:val="24"/>
        </w:rPr>
        <w:tab/>
      </w:r>
      <w:r>
        <w:tab/>
      </w:r>
      <w:r w:rsidRPr="4B8C93C8">
        <w:rPr>
          <w:rFonts w:eastAsia="Times New Roman" w:cs="Times New Roman"/>
        </w:rPr>
        <w:t>practice throughout the course:</w:t>
      </w:r>
    </w:p>
    <w:p w14:paraId="2B3822EC" w14:textId="77777777" w:rsidR="00C76BEC" w:rsidRDefault="00C76BEC" w:rsidP="002D552E">
      <w:pPr>
        <w:widowControl w:val="0"/>
        <w:autoSpaceDE w:val="0"/>
        <w:autoSpaceDN w:val="0"/>
        <w:adjustRightInd w:val="0"/>
        <w:spacing w:after="0" w:line="240" w:lineRule="auto"/>
        <w:rPr>
          <w:rFonts w:eastAsia="Times New Roman" w:cs="Times New Roman"/>
          <w:szCs w:val="24"/>
        </w:rPr>
      </w:pPr>
    </w:p>
    <w:tbl>
      <w:tblPr>
        <w:tblStyle w:val="TableGrid1"/>
        <w:tblW w:w="0" w:type="auto"/>
        <w:tblInd w:w="354" w:type="dxa"/>
        <w:tblLook w:val="04A0" w:firstRow="1" w:lastRow="0" w:firstColumn="1" w:lastColumn="0" w:noHBand="0" w:noVBand="1"/>
        <w:tblCaption w:val="NRSG 1300 outline"/>
        <w:tblDescription w:val="Outline of content to be taught in NRSG 1300"/>
      </w:tblPr>
      <w:tblGrid>
        <w:gridCol w:w="1345"/>
        <w:gridCol w:w="5940"/>
        <w:gridCol w:w="1705"/>
      </w:tblGrid>
      <w:tr w:rsidR="00C76BEC" w:rsidRPr="00C76BEC" w14:paraId="49128F41" w14:textId="77777777" w:rsidTr="28CA4856">
        <w:trPr>
          <w:tblHeader/>
        </w:trPr>
        <w:tc>
          <w:tcPr>
            <w:tcW w:w="1345" w:type="dxa"/>
          </w:tcPr>
          <w:p w14:paraId="12E2BE05" w14:textId="77777777" w:rsidR="00C76BEC" w:rsidRPr="00C5049E" w:rsidRDefault="00C76BEC"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Cambria" w:hAnsi="Cambria"/>
                <w:b/>
                <w:bCs/>
                <w:sz w:val="22"/>
              </w:rPr>
            </w:pPr>
            <w:r w:rsidRPr="00C5049E">
              <w:rPr>
                <w:rFonts w:ascii="Cambria" w:hAnsi="Cambria"/>
                <w:b/>
                <w:bCs/>
                <w:sz w:val="22"/>
              </w:rPr>
              <w:t>WEEKS</w:t>
            </w:r>
          </w:p>
        </w:tc>
        <w:tc>
          <w:tcPr>
            <w:tcW w:w="5940" w:type="dxa"/>
          </w:tcPr>
          <w:p w14:paraId="1FA08E33" w14:textId="77777777" w:rsidR="00C76BEC" w:rsidRPr="00C5049E" w:rsidRDefault="00C76BEC"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Cambria" w:hAnsi="Cambria"/>
                <w:b/>
                <w:bCs/>
                <w:sz w:val="22"/>
              </w:rPr>
            </w:pPr>
            <w:r w:rsidRPr="00C5049E">
              <w:rPr>
                <w:rFonts w:ascii="Cambria" w:hAnsi="Cambria"/>
                <w:b/>
                <w:bCs/>
                <w:sz w:val="22"/>
              </w:rPr>
              <w:t>CONTENT</w:t>
            </w:r>
          </w:p>
        </w:tc>
        <w:tc>
          <w:tcPr>
            <w:tcW w:w="1705" w:type="dxa"/>
          </w:tcPr>
          <w:p w14:paraId="6D7BFFD5" w14:textId="1CD345CB" w:rsidR="00C76BEC" w:rsidRPr="00164215" w:rsidRDefault="00D928E8"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Cambria" w:hAnsi="Cambria"/>
                <w:b/>
                <w:bCs/>
                <w:sz w:val="22"/>
                <w:szCs w:val="22"/>
              </w:rPr>
            </w:pPr>
            <w:r w:rsidRPr="28CA4856">
              <w:rPr>
                <w:rFonts w:ascii="Cambria" w:hAnsi="Cambria"/>
                <w:b/>
                <w:bCs/>
                <w:sz w:val="22"/>
                <w:szCs w:val="22"/>
              </w:rPr>
              <w:t>LEARNING OUTCOME</w:t>
            </w:r>
            <w:r w:rsidR="00C76BEC" w:rsidRPr="28CA4856">
              <w:rPr>
                <w:rFonts w:ascii="Cambria" w:hAnsi="Cambria"/>
                <w:b/>
                <w:bCs/>
                <w:sz w:val="22"/>
                <w:szCs w:val="22"/>
              </w:rPr>
              <w:t>#</w:t>
            </w:r>
          </w:p>
        </w:tc>
      </w:tr>
      <w:tr w:rsidR="00C76BEC" w:rsidRPr="00C76BEC" w14:paraId="10A03BAB" w14:textId="77777777" w:rsidTr="28CA4856">
        <w:tc>
          <w:tcPr>
            <w:tcW w:w="1345" w:type="dxa"/>
          </w:tcPr>
          <w:p w14:paraId="680E9AA2" w14:textId="77777777" w:rsidR="00C76BEC" w:rsidRPr="00C5049E" w:rsidRDefault="00C76BEC"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1</w:t>
            </w:r>
          </w:p>
        </w:tc>
        <w:tc>
          <w:tcPr>
            <w:tcW w:w="5940" w:type="dxa"/>
          </w:tcPr>
          <w:p w14:paraId="134F39E2" w14:textId="118B1CDD" w:rsidR="00C76BEC" w:rsidRPr="00C5049E" w:rsidRDefault="00C5049E" w:rsidP="00C5049E">
            <w:pPr>
              <w:rPr>
                <w:rFonts w:ascii="Cambria" w:hAnsi="Cambria"/>
                <w:sz w:val="22"/>
                <w:szCs w:val="22"/>
              </w:rPr>
            </w:pPr>
            <w:r w:rsidRPr="00C5049E">
              <w:rPr>
                <w:rFonts w:ascii="Cambria" w:hAnsi="Cambria"/>
                <w:sz w:val="22"/>
                <w:szCs w:val="22"/>
              </w:rPr>
              <w:t>Pharmacology Basics,  Safety (Medication Errors)</w:t>
            </w:r>
          </w:p>
        </w:tc>
        <w:tc>
          <w:tcPr>
            <w:tcW w:w="1705" w:type="dxa"/>
          </w:tcPr>
          <w:p w14:paraId="616C3E55" w14:textId="4C969445" w:rsidR="00C76BEC" w:rsidRPr="00164215" w:rsidRDefault="00C76BEC"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1, 3,</w:t>
            </w:r>
            <w:r w:rsidR="7271C6A3" w:rsidRPr="28CA4856">
              <w:rPr>
                <w:rFonts w:ascii="Cambria" w:hAnsi="Cambria"/>
                <w:sz w:val="22"/>
                <w:szCs w:val="22"/>
              </w:rPr>
              <w:t xml:space="preserve"> 4, 5,</w:t>
            </w:r>
            <w:r w:rsidRPr="28CA4856">
              <w:rPr>
                <w:rFonts w:ascii="Cambria" w:hAnsi="Cambria"/>
                <w:sz w:val="22"/>
                <w:szCs w:val="22"/>
              </w:rPr>
              <w:t xml:space="preserve"> 6</w:t>
            </w:r>
            <w:r w:rsidR="58B5D5B6" w:rsidRPr="28CA4856">
              <w:rPr>
                <w:rFonts w:ascii="Cambria" w:hAnsi="Cambria"/>
                <w:sz w:val="22"/>
                <w:szCs w:val="22"/>
              </w:rPr>
              <w:t>, 8</w:t>
            </w:r>
          </w:p>
        </w:tc>
      </w:tr>
      <w:tr w:rsidR="00C76BEC" w:rsidRPr="00C76BEC" w14:paraId="031AFC0F" w14:textId="77777777" w:rsidTr="28CA4856">
        <w:tc>
          <w:tcPr>
            <w:tcW w:w="1345" w:type="dxa"/>
          </w:tcPr>
          <w:p w14:paraId="6E1DBB1A" w14:textId="77777777" w:rsidR="00C76BEC" w:rsidRPr="00C5049E" w:rsidRDefault="00C76BEC"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2</w:t>
            </w:r>
          </w:p>
        </w:tc>
        <w:tc>
          <w:tcPr>
            <w:tcW w:w="5940" w:type="dxa"/>
          </w:tcPr>
          <w:p w14:paraId="059FC631" w14:textId="38F731D1" w:rsidR="00C76BEC" w:rsidRPr="00164215"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highlight w:val="yellow"/>
              </w:rPr>
            </w:pPr>
            <w:r w:rsidRPr="00C5049E">
              <w:rPr>
                <w:rFonts w:ascii="Cambria" w:hAnsi="Cambria"/>
                <w:bCs/>
                <w:sz w:val="22"/>
              </w:rPr>
              <w:t>Intracranial regulation, Mood/Affect, Cognition</w:t>
            </w:r>
          </w:p>
        </w:tc>
        <w:tc>
          <w:tcPr>
            <w:tcW w:w="1705" w:type="dxa"/>
          </w:tcPr>
          <w:p w14:paraId="5D82EF16" w14:textId="7AD481DA" w:rsidR="00C76BEC" w:rsidRPr="00164215" w:rsidRDefault="075A8B87"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3, 4, 5, 6</w:t>
            </w:r>
          </w:p>
        </w:tc>
      </w:tr>
      <w:tr w:rsidR="00C76BEC" w:rsidRPr="00C76BEC" w14:paraId="210DCCC2" w14:textId="77777777" w:rsidTr="001638B4">
        <w:tc>
          <w:tcPr>
            <w:tcW w:w="1345" w:type="dxa"/>
          </w:tcPr>
          <w:p w14:paraId="3D446F7D" w14:textId="77777777" w:rsidR="00C76BEC" w:rsidRPr="00C5049E" w:rsidRDefault="00C76BEC"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3</w:t>
            </w:r>
          </w:p>
        </w:tc>
        <w:tc>
          <w:tcPr>
            <w:tcW w:w="5940" w:type="dxa"/>
          </w:tcPr>
          <w:p w14:paraId="0575F66B" w14:textId="624F0DE9" w:rsidR="00C76BEC" w:rsidRPr="00164215" w:rsidRDefault="00C5049E" w:rsidP="00C5049E">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highlight w:val="yellow"/>
              </w:rPr>
            </w:pPr>
            <w:r w:rsidRPr="00C5049E">
              <w:rPr>
                <w:rFonts w:ascii="Cambria" w:hAnsi="Cambria"/>
                <w:bCs/>
                <w:sz w:val="22"/>
              </w:rPr>
              <w:t>Gas Exchange, Acid-base balance, Patient Education</w:t>
            </w:r>
          </w:p>
        </w:tc>
        <w:tc>
          <w:tcPr>
            <w:tcW w:w="1705" w:type="dxa"/>
            <w:tcBorders>
              <w:bottom w:val="single" w:sz="4" w:space="0" w:color="auto"/>
            </w:tcBorders>
          </w:tcPr>
          <w:p w14:paraId="197B0F7C" w14:textId="35C18E23" w:rsidR="00C76BEC" w:rsidRPr="00164215" w:rsidRDefault="00C76BEC"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1, 3, 4, 5</w:t>
            </w:r>
            <w:r w:rsidR="1A0A1C91" w:rsidRPr="28CA4856">
              <w:rPr>
                <w:rFonts w:ascii="Cambria" w:hAnsi="Cambria"/>
                <w:sz w:val="22"/>
                <w:szCs w:val="22"/>
              </w:rPr>
              <w:t>, 6, 7</w:t>
            </w:r>
          </w:p>
        </w:tc>
      </w:tr>
      <w:tr w:rsidR="00C76BEC" w:rsidRPr="00C76BEC" w14:paraId="5B3ECFF7" w14:textId="77777777" w:rsidTr="001638B4">
        <w:tc>
          <w:tcPr>
            <w:tcW w:w="1345" w:type="dxa"/>
          </w:tcPr>
          <w:p w14:paraId="2974F79C" w14:textId="59EBB895" w:rsidR="00C76BEC"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4</w:t>
            </w:r>
          </w:p>
        </w:tc>
        <w:tc>
          <w:tcPr>
            <w:tcW w:w="5940" w:type="dxa"/>
            <w:tcBorders>
              <w:right w:val="single" w:sz="4" w:space="0" w:color="auto"/>
            </w:tcBorders>
          </w:tcPr>
          <w:p w14:paraId="074BD9F1" w14:textId="3ACB1AA2" w:rsidR="00C76BEC" w:rsidRPr="00164215"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highlight w:val="yellow"/>
              </w:rPr>
            </w:pPr>
            <w:r w:rsidRPr="00C5049E">
              <w:rPr>
                <w:rFonts w:ascii="Cambria" w:hAnsi="Cambria"/>
                <w:bCs/>
                <w:sz w:val="22"/>
              </w:rPr>
              <w:t>Perfusion, Health Promotion</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3F4A3DC" w14:textId="1FC075BF" w:rsidR="00C76BEC" w:rsidRPr="001638B4" w:rsidRDefault="00C76BEC"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001638B4">
              <w:rPr>
                <w:rFonts w:ascii="Cambria" w:hAnsi="Cambria"/>
                <w:sz w:val="22"/>
                <w:szCs w:val="22"/>
              </w:rPr>
              <w:t xml:space="preserve">1, 2, 3, </w:t>
            </w:r>
            <w:r w:rsidR="4190F3FD" w:rsidRPr="001638B4">
              <w:rPr>
                <w:rFonts w:ascii="Cambria" w:hAnsi="Cambria"/>
                <w:sz w:val="22"/>
                <w:szCs w:val="22"/>
              </w:rPr>
              <w:t xml:space="preserve">4, </w:t>
            </w:r>
            <w:r w:rsidRPr="001638B4">
              <w:rPr>
                <w:rFonts w:ascii="Cambria" w:hAnsi="Cambria"/>
                <w:sz w:val="22"/>
                <w:szCs w:val="22"/>
              </w:rPr>
              <w:t>5, 6</w:t>
            </w:r>
            <w:r w:rsidR="1387B5CD" w:rsidRPr="001638B4">
              <w:rPr>
                <w:rFonts w:ascii="Cambria" w:hAnsi="Cambria"/>
                <w:sz w:val="22"/>
                <w:szCs w:val="22"/>
              </w:rPr>
              <w:t>, 7, 8</w:t>
            </w:r>
          </w:p>
        </w:tc>
      </w:tr>
      <w:tr w:rsidR="00C76BEC" w:rsidRPr="00C76BEC" w14:paraId="1CF33933" w14:textId="77777777" w:rsidTr="001638B4">
        <w:tc>
          <w:tcPr>
            <w:tcW w:w="1345" w:type="dxa"/>
          </w:tcPr>
          <w:p w14:paraId="13BD148B" w14:textId="58D450F9" w:rsidR="00C76BEC"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5</w:t>
            </w:r>
          </w:p>
        </w:tc>
        <w:tc>
          <w:tcPr>
            <w:tcW w:w="5940" w:type="dxa"/>
          </w:tcPr>
          <w:p w14:paraId="57C9DBDB" w14:textId="095241B9" w:rsidR="00C76BEC" w:rsidRPr="00164215"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highlight w:val="yellow"/>
              </w:rPr>
            </w:pPr>
            <w:r w:rsidRPr="00C5049E">
              <w:rPr>
                <w:rFonts w:ascii="Cambria" w:hAnsi="Cambria"/>
                <w:bCs/>
                <w:sz w:val="22"/>
              </w:rPr>
              <w:t>Perfusion, Fluid Electrolytes</w:t>
            </w:r>
          </w:p>
        </w:tc>
        <w:tc>
          <w:tcPr>
            <w:tcW w:w="1705" w:type="dxa"/>
            <w:tcBorders>
              <w:top w:val="single" w:sz="4" w:space="0" w:color="auto"/>
            </w:tcBorders>
          </w:tcPr>
          <w:p w14:paraId="760445B5" w14:textId="44100A52" w:rsidR="00C76BEC" w:rsidRPr="00164215" w:rsidRDefault="00C76BEC"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3,</w:t>
            </w:r>
            <w:r w:rsidR="10691E6E" w:rsidRPr="28CA4856">
              <w:rPr>
                <w:rFonts w:ascii="Cambria" w:hAnsi="Cambria"/>
                <w:sz w:val="22"/>
                <w:szCs w:val="22"/>
              </w:rPr>
              <w:t xml:space="preserve"> 4, 5,</w:t>
            </w:r>
            <w:r w:rsidRPr="28CA4856">
              <w:rPr>
                <w:rFonts w:ascii="Cambria" w:hAnsi="Cambria"/>
                <w:sz w:val="22"/>
                <w:szCs w:val="22"/>
              </w:rPr>
              <w:t xml:space="preserve"> 6</w:t>
            </w:r>
          </w:p>
        </w:tc>
      </w:tr>
      <w:tr w:rsidR="00C76BEC" w:rsidRPr="00C76BEC" w14:paraId="091AB483" w14:textId="77777777" w:rsidTr="28CA4856">
        <w:tc>
          <w:tcPr>
            <w:tcW w:w="1345" w:type="dxa"/>
          </w:tcPr>
          <w:p w14:paraId="39E62A87" w14:textId="299620C0" w:rsidR="00C76BEC"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6</w:t>
            </w:r>
          </w:p>
        </w:tc>
        <w:tc>
          <w:tcPr>
            <w:tcW w:w="5940" w:type="dxa"/>
          </w:tcPr>
          <w:p w14:paraId="4DFA3E15" w14:textId="2A34B9FE" w:rsidR="00C76BEC" w:rsidRPr="00164215" w:rsidRDefault="00C5049E" w:rsidP="00C5049E">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rPr>
                <w:rFonts w:ascii="Cambria" w:hAnsi="Cambria"/>
                <w:bCs/>
                <w:sz w:val="22"/>
                <w:highlight w:val="yellow"/>
              </w:rPr>
            </w:pPr>
            <w:r>
              <w:rPr>
                <w:rFonts w:ascii="Cambria" w:hAnsi="Cambria"/>
                <w:bCs/>
                <w:sz w:val="22"/>
              </w:rPr>
              <w:t xml:space="preserve">Glucose </w:t>
            </w:r>
            <w:r w:rsidRPr="00C5049E">
              <w:rPr>
                <w:rFonts w:ascii="Cambria" w:hAnsi="Cambria"/>
                <w:bCs/>
                <w:sz w:val="22"/>
              </w:rPr>
              <w:t>and Hormonal Regulation, Adherence, Patient Education</w:t>
            </w:r>
          </w:p>
        </w:tc>
        <w:tc>
          <w:tcPr>
            <w:tcW w:w="1705" w:type="dxa"/>
          </w:tcPr>
          <w:p w14:paraId="142C7895" w14:textId="26393A1F" w:rsidR="00C76BEC" w:rsidRPr="00164215" w:rsidRDefault="00C76BEC"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1, 3</w:t>
            </w:r>
            <w:r w:rsidR="203E789D" w:rsidRPr="28CA4856">
              <w:rPr>
                <w:rFonts w:ascii="Cambria" w:hAnsi="Cambria"/>
                <w:sz w:val="22"/>
                <w:szCs w:val="22"/>
              </w:rPr>
              <w:t>, 4, 5, 6, 7</w:t>
            </w:r>
          </w:p>
        </w:tc>
      </w:tr>
      <w:tr w:rsidR="00C76BEC" w:rsidRPr="00C76BEC" w14:paraId="4772B144" w14:textId="77777777" w:rsidTr="28CA4856">
        <w:tc>
          <w:tcPr>
            <w:tcW w:w="1345" w:type="dxa"/>
          </w:tcPr>
          <w:p w14:paraId="608BCAE6" w14:textId="5DC5370F" w:rsidR="00C76BEC"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rPr>
                <w:rFonts w:ascii="Cambria" w:hAnsi="Cambria"/>
                <w:bCs/>
                <w:sz w:val="22"/>
              </w:rPr>
            </w:pPr>
            <w:r w:rsidRPr="00C5049E">
              <w:rPr>
                <w:rFonts w:ascii="Cambria" w:hAnsi="Cambria"/>
                <w:bCs/>
                <w:sz w:val="22"/>
              </w:rPr>
              <w:t>7</w:t>
            </w:r>
          </w:p>
        </w:tc>
        <w:tc>
          <w:tcPr>
            <w:tcW w:w="5940" w:type="dxa"/>
          </w:tcPr>
          <w:p w14:paraId="6DF3B411" w14:textId="0B0C3170" w:rsidR="00C76BEC" w:rsidRPr="00164215"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highlight w:val="yellow"/>
              </w:rPr>
            </w:pPr>
            <w:r w:rsidRPr="00C5049E">
              <w:rPr>
                <w:rFonts w:ascii="Cambria" w:hAnsi="Cambria"/>
                <w:bCs/>
                <w:sz w:val="22"/>
              </w:rPr>
              <w:t>Glucose and Hormonal Regulation, Self-management</w:t>
            </w:r>
          </w:p>
        </w:tc>
        <w:tc>
          <w:tcPr>
            <w:tcW w:w="1705" w:type="dxa"/>
          </w:tcPr>
          <w:p w14:paraId="394FDA33" w14:textId="2180EF81" w:rsidR="00C76BEC" w:rsidRPr="00164215" w:rsidRDefault="00C76BEC"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1, 3,</w:t>
            </w:r>
            <w:r w:rsidR="7C048BAC" w:rsidRPr="28CA4856">
              <w:rPr>
                <w:rFonts w:ascii="Cambria" w:hAnsi="Cambria"/>
                <w:sz w:val="22"/>
                <w:szCs w:val="22"/>
              </w:rPr>
              <w:t xml:space="preserve"> 4, 5,</w:t>
            </w:r>
            <w:r w:rsidRPr="28CA4856">
              <w:rPr>
                <w:rFonts w:ascii="Cambria" w:hAnsi="Cambria"/>
                <w:sz w:val="22"/>
                <w:szCs w:val="22"/>
              </w:rPr>
              <w:t xml:space="preserve"> 6</w:t>
            </w:r>
            <w:r w:rsidR="5B56FE45" w:rsidRPr="28CA4856">
              <w:rPr>
                <w:rFonts w:ascii="Cambria" w:hAnsi="Cambria"/>
                <w:sz w:val="22"/>
                <w:szCs w:val="22"/>
              </w:rPr>
              <w:t>, 7</w:t>
            </w:r>
          </w:p>
        </w:tc>
      </w:tr>
      <w:tr w:rsidR="00C76BEC" w:rsidRPr="00C76BEC" w14:paraId="743635DD" w14:textId="77777777" w:rsidTr="28CA4856">
        <w:tc>
          <w:tcPr>
            <w:tcW w:w="1345" w:type="dxa"/>
          </w:tcPr>
          <w:p w14:paraId="16075645" w14:textId="7559A296" w:rsidR="00C76BEC"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8</w:t>
            </w:r>
          </w:p>
        </w:tc>
        <w:tc>
          <w:tcPr>
            <w:tcW w:w="5940" w:type="dxa"/>
          </w:tcPr>
          <w:p w14:paraId="3285635E" w14:textId="26DDEC06" w:rsidR="00C76BEC" w:rsidRPr="00164215"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highlight w:val="yellow"/>
              </w:rPr>
            </w:pPr>
            <w:r w:rsidRPr="00C5049E">
              <w:rPr>
                <w:rFonts w:ascii="Cambria" w:hAnsi="Cambria"/>
                <w:bCs/>
                <w:sz w:val="22"/>
              </w:rPr>
              <w:t>Ethics, Legal, Culture</w:t>
            </w:r>
          </w:p>
        </w:tc>
        <w:tc>
          <w:tcPr>
            <w:tcW w:w="1705" w:type="dxa"/>
          </w:tcPr>
          <w:p w14:paraId="4241DFDF" w14:textId="4ED36CE5" w:rsidR="00C76BEC" w:rsidRPr="00164215" w:rsidRDefault="00C76BEC"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1, 3,</w:t>
            </w:r>
            <w:r w:rsidR="7AD9D242" w:rsidRPr="28CA4856">
              <w:rPr>
                <w:rFonts w:ascii="Cambria" w:hAnsi="Cambria"/>
                <w:sz w:val="22"/>
                <w:szCs w:val="22"/>
              </w:rPr>
              <w:t xml:space="preserve"> 4, 5,</w:t>
            </w:r>
            <w:r w:rsidRPr="28CA4856">
              <w:rPr>
                <w:rFonts w:ascii="Cambria" w:hAnsi="Cambria"/>
                <w:sz w:val="22"/>
                <w:szCs w:val="22"/>
              </w:rPr>
              <w:t xml:space="preserve"> 6</w:t>
            </w:r>
          </w:p>
        </w:tc>
      </w:tr>
      <w:tr w:rsidR="00C76BEC" w:rsidRPr="00C76BEC" w14:paraId="559098E5" w14:textId="77777777" w:rsidTr="28CA4856">
        <w:tc>
          <w:tcPr>
            <w:tcW w:w="1345" w:type="dxa"/>
          </w:tcPr>
          <w:p w14:paraId="5EBD66E7" w14:textId="0C426084" w:rsidR="00C76BEC"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9</w:t>
            </w:r>
          </w:p>
        </w:tc>
        <w:tc>
          <w:tcPr>
            <w:tcW w:w="5940" w:type="dxa"/>
          </w:tcPr>
          <w:p w14:paraId="2321A36E" w14:textId="6992424E" w:rsidR="00C76BEC" w:rsidRPr="00164215" w:rsidRDefault="00C5049E"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Elimination – Bowel</w:t>
            </w:r>
          </w:p>
        </w:tc>
        <w:tc>
          <w:tcPr>
            <w:tcW w:w="1705" w:type="dxa"/>
          </w:tcPr>
          <w:p w14:paraId="5C8781EF" w14:textId="49263C86" w:rsidR="00C76BEC" w:rsidRPr="00164215" w:rsidRDefault="64386A5B"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3, 4, 5, 6</w:t>
            </w:r>
          </w:p>
        </w:tc>
      </w:tr>
      <w:tr w:rsidR="00C76BEC" w:rsidRPr="00C76BEC" w14:paraId="50A9F55B" w14:textId="77777777" w:rsidTr="28CA4856">
        <w:tc>
          <w:tcPr>
            <w:tcW w:w="1345" w:type="dxa"/>
          </w:tcPr>
          <w:p w14:paraId="274678B0" w14:textId="1D6F907A" w:rsidR="00C76BEC"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10</w:t>
            </w:r>
          </w:p>
        </w:tc>
        <w:tc>
          <w:tcPr>
            <w:tcW w:w="5940" w:type="dxa"/>
          </w:tcPr>
          <w:p w14:paraId="5590B634" w14:textId="5B8D6D5D" w:rsidR="00C76BEC" w:rsidRPr="00164215"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highlight w:val="yellow"/>
              </w:rPr>
            </w:pPr>
            <w:r w:rsidRPr="00C5049E">
              <w:rPr>
                <w:rFonts w:ascii="Cambria" w:hAnsi="Cambria"/>
                <w:bCs/>
                <w:sz w:val="22"/>
              </w:rPr>
              <w:t>Elimination – Bladder</w:t>
            </w:r>
          </w:p>
        </w:tc>
        <w:tc>
          <w:tcPr>
            <w:tcW w:w="1705" w:type="dxa"/>
          </w:tcPr>
          <w:p w14:paraId="2BAAC08F" w14:textId="71074FB4" w:rsidR="00C76BEC" w:rsidRPr="00164215" w:rsidRDefault="00C76BEC"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3,</w:t>
            </w:r>
            <w:r w:rsidR="2E607638" w:rsidRPr="28CA4856">
              <w:rPr>
                <w:rFonts w:ascii="Cambria" w:hAnsi="Cambria"/>
                <w:sz w:val="22"/>
                <w:szCs w:val="22"/>
              </w:rPr>
              <w:t xml:space="preserve"> 4, 5,</w:t>
            </w:r>
            <w:r w:rsidRPr="28CA4856">
              <w:rPr>
                <w:rFonts w:ascii="Cambria" w:hAnsi="Cambria"/>
                <w:sz w:val="22"/>
                <w:szCs w:val="22"/>
              </w:rPr>
              <w:t xml:space="preserve"> 6</w:t>
            </w:r>
          </w:p>
        </w:tc>
      </w:tr>
      <w:tr w:rsidR="00C76BEC" w:rsidRPr="00C76BEC" w14:paraId="53F7FBFD" w14:textId="77777777" w:rsidTr="28CA4856">
        <w:tc>
          <w:tcPr>
            <w:tcW w:w="1345" w:type="dxa"/>
          </w:tcPr>
          <w:p w14:paraId="233681DF" w14:textId="7797E908" w:rsidR="00C76BEC"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11</w:t>
            </w:r>
          </w:p>
        </w:tc>
        <w:tc>
          <w:tcPr>
            <w:tcW w:w="5940" w:type="dxa"/>
          </w:tcPr>
          <w:p w14:paraId="7D210B5E" w14:textId="594F9299" w:rsidR="00C76BEC" w:rsidRPr="00164215"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highlight w:val="yellow"/>
              </w:rPr>
            </w:pPr>
            <w:r w:rsidRPr="00C5049E">
              <w:rPr>
                <w:rFonts w:ascii="Cambria" w:hAnsi="Cambria"/>
                <w:bCs/>
                <w:sz w:val="22"/>
              </w:rPr>
              <w:t>Infection, Tissue Integrity</w:t>
            </w:r>
          </w:p>
        </w:tc>
        <w:tc>
          <w:tcPr>
            <w:tcW w:w="1705" w:type="dxa"/>
          </w:tcPr>
          <w:p w14:paraId="77BE20A9" w14:textId="48D3A0DA" w:rsidR="00C76BEC" w:rsidRPr="00164215" w:rsidRDefault="6DF746C8"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3,4,5,6</w:t>
            </w:r>
          </w:p>
        </w:tc>
      </w:tr>
      <w:tr w:rsidR="00C76BEC" w:rsidRPr="00C76BEC" w14:paraId="721506E0" w14:textId="77777777" w:rsidTr="28CA4856">
        <w:tc>
          <w:tcPr>
            <w:tcW w:w="1345" w:type="dxa"/>
          </w:tcPr>
          <w:p w14:paraId="6B8AF7D8" w14:textId="04A68287" w:rsidR="00C76BEC"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12</w:t>
            </w:r>
          </w:p>
        </w:tc>
        <w:tc>
          <w:tcPr>
            <w:tcW w:w="5940" w:type="dxa"/>
          </w:tcPr>
          <w:p w14:paraId="4D52F8A1" w14:textId="55DA96D8" w:rsidR="00C76BEC" w:rsidRPr="00164215"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highlight w:val="yellow"/>
              </w:rPr>
            </w:pPr>
            <w:r w:rsidRPr="00C5049E">
              <w:rPr>
                <w:rFonts w:ascii="Cambria" w:hAnsi="Cambria"/>
                <w:bCs/>
                <w:sz w:val="22"/>
              </w:rPr>
              <w:t>Inflammation, Mobility</w:t>
            </w:r>
          </w:p>
        </w:tc>
        <w:tc>
          <w:tcPr>
            <w:tcW w:w="1705" w:type="dxa"/>
          </w:tcPr>
          <w:p w14:paraId="03190658" w14:textId="05787780" w:rsidR="00C76BEC" w:rsidRPr="00164215" w:rsidRDefault="00C76BEC"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28CA4856">
              <w:rPr>
                <w:rFonts w:ascii="Cambria" w:hAnsi="Cambria"/>
                <w:sz w:val="22"/>
                <w:szCs w:val="22"/>
              </w:rPr>
              <w:t>3</w:t>
            </w:r>
            <w:r w:rsidR="12699767" w:rsidRPr="28CA4856">
              <w:rPr>
                <w:rFonts w:ascii="Cambria" w:hAnsi="Cambria"/>
                <w:sz w:val="22"/>
                <w:szCs w:val="22"/>
              </w:rPr>
              <w:t>, 4, 5, 6</w:t>
            </w:r>
          </w:p>
        </w:tc>
      </w:tr>
      <w:tr w:rsidR="00C76BEC" w:rsidRPr="00C76BEC" w14:paraId="6CA6C852" w14:textId="77777777" w:rsidTr="28CA4856">
        <w:tc>
          <w:tcPr>
            <w:tcW w:w="1345" w:type="dxa"/>
          </w:tcPr>
          <w:p w14:paraId="2BB5C653" w14:textId="6E432B96" w:rsidR="00C76BEC"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13</w:t>
            </w:r>
          </w:p>
        </w:tc>
        <w:tc>
          <w:tcPr>
            <w:tcW w:w="5940" w:type="dxa"/>
          </w:tcPr>
          <w:p w14:paraId="77862DCC" w14:textId="0E285FFA" w:rsidR="00C76BEC" w:rsidRPr="00164215" w:rsidRDefault="00C5049E"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rPr>
                <w:rFonts w:ascii="Cambria" w:hAnsi="Cambria"/>
                <w:sz w:val="22"/>
                <w:szCs w:val="22"/>
                <w:highlight w:val="yellow"/>
              </w:rPr>
            </w:pPr>
            <w:r w:rsidRPr="28CA4856">
              <w:rPr>
                <w:rFonts w:ascii="Cambria" w:hAnsi="Cambria"/>
                <w:sz w:val="22"/>
                <w:szCs w:val="22"/>
              </w:rPr>
              <w:t>Pain</w:t>
            </w:r>
            <w:r w:rsidR="0CEFD279" w:rsidRPr="28CA4856">
              <w:rPr>
                <w:rFonts w:ascii="Cambria" w:hAnsi="Cambria"/>
                <w:sz w:val="22"/>
                <w:szCs w:val="22"/>
              </w:rPr>
              <w:t xml:space="preserve">                                                                                    </w:t>
            </w:r>
          </w:p>
        </w:tc>
        <w:tc>
          <w:tcPr>
            <w:tcW w:w="1705" w:type="dxa"/>
          </w:tcPr>
          <w:p w14:paraId="7197EE88" w14:textId="5872EE2D" w:rsidR="00C76BEC" w:rsidRPr="00164215" w:rsidRDefault="001638B4"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color w:val="FFFFFF" w:themeColor="background1"/>
                <w:sz w:val="22"/>
                <w:szCs w:val="22"/>
              </w:rPr>
            </w:pPr>
            <w:r w:rsidRPr="28CA4856">
              <w:rPr>
                <w:rFonts w:ascii="Cambria" w:hAnsi="Cambria"/>
                <w:sz w:val="22"/>
                <w:szCs w:val="22"/>
              </w:rPr>
              <w:t>1,3,4,5,6</w:t>
            </w:r>
            <w:r w:rsidR="00C76BEC" w:rsidRPr="28CA4856">
              <w:rPr>
                <w:rFonts w:ascii="Cambria" w:hAnsi="Cambria"/>
                <w:color w:val="FFFFFF" w:themeColor="background1"/>
                <w:sz w:val="22"/>
                <w:szCs w:val="22"/>
              </w:rPr>
              <w:t xml:space="preserve">, 2, 3, 4 </w:t>
            </w:r>
          </w:p>
        </w:tc>
      </w:tr>
      <w:tr w:rsidR="00C5049E" w:rsidRPr="00C76BEC" w14:paraId="5566A237" w14:textId="77777777" w:rsidTr="28CA4856">
        <w:tc>
          <w:tcPr>
            <w:tcW w:w="1345" w:type="dxa"/>
          </w:tcPr>
          <w:p w14:paraId="70ADD8CA" w14:textId="4C2116F7" w:rsidR="00C5049E"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14</w:t>
            </w:r>
          </w:p>
        </w:tc>
        <w:tc>
          <w:tcPr>
            <w:tcW w:w="5940" w:type="dxa"/>
          </w:tcPr>
          <w:p w14:paraId="5862AB60" w14:textId="7A13F362" w:rsidR="00C5049E" w:rsidRPr="00C5049E" w:rsidRDefault="00C5049E"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rPr>
                <w:rFonts w:ascii="Cambria" w:hAnsi="Cambria"/>
                <w:sz w:val="22"/>
                <w:szCs w:val="22"/>
              </w:rPr>
            </w:pPr>
            <w:r w:rsidRPr="28CA4856">
              <w:rPr>
                <w:rFonts w:ascii="Cambria" w:hAnsi="Cambria"/>
                <w:sz w:val="22"/>
                <w:szCs w:val="22"/>
              </w:rPr>
              <w:t>Immunity, Cellular Regulation, Health Promotion</w:t>
            </w:r>
            <w:r w:rsidR="5CCD1BC6" w:rsidRPr="28CA4856">
              <w:rPr>
                <w:rFonts w:ascii="Cambria" w:hAnsi="Cambria"/>
                <w:sz w:val="22"/>
                <w:szCs w:val="22"/>
              </w:rPr>
              <w:t xml:space="preserve"> 1-8</w:t>
            </w:r>
          </w:p>
        </w:tc>
        <w:tc>
          <w:tcPr>
            <w:tcW w:w="1705" w:type="dxa"/>
            <w:shd w:val="clear" w:color="auto" w:fill="F2F2F2" w:themeFill="background1" w:themeFillShade="F2"/>
          </w:tcPr>
          <w:p w14:paraId="5C557497" w14:textId="737CD394" w:rsidR="00C5049E" w:rsidRPr="001638B4" w:rsidRDefault="001638B4"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rPr>
            </w:pPr>
            <w:r w:rsidRPr="001638B4">
              <w:rPr>
                <w:rFonts w:ascii="Cambria" w:hAnsi="Cambria"/>
                <w:sz w:val="22"/>
                <w:szCs w:val="22"/>
              </w:rPr>
              <w:t>1, 2, 3, 4, 5, 6, 7, 8</w:t>
            </w:r>
          </w:p>
        </w:tc>
      </w:tr>
      <w:tr w:rsidR="00C5049E" w:rsidRPr="00C76BEC" w14:paraId="7F46AA52" w14:textId="77777777" w:rsidTr="28CA4856">
        <w:tc>
          <w:tcPr>
            <w:tcW w:w="1345" w:type="dxa"/>
          </w:tcPr>
          <w:p w14:paraId="510ECD7E" w14:textId="24726F80" w:rsidR="00C5049E" w:rsidRPr="00C5049E" w:rsidRDefault="00C5049E" w:rsidP="00C76BEC">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bCs/>
                <w:sz w:val="22"/>
              </w:rPr>
            </w:pPr>
            <w:r w:rsidRPr="00C5049E">
              <w:rPr>
                <w:rFonts w:ascii="Cambria" w:hAnsi="Cambria"/>
                <w:bCs/>
                <w:sz w:val="22"/>
              </w:rPr>
              <w:t>15</w:t>
            </w:r>
          </w:p>
        </w:tc>
        <w:tc>
          <w:tcPr>
            <w:tcW w:w="5940" w:type="dxa"/>
          </w:tcPr>
          <w:p w14:paraId="3FEE459F" w14:textId="4C5A7D88" w:rsidR="00C5049E" w:rsidRPr="00C5049E" w:rsidRDefault="00C5049E" w:rsidP="00C5049E">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rPr>
                <w:rFonts w:ascii="Cambria" w:hAnsi="Cambria"/>
                <w:bCs/>
                <w:sz w:val="22"/>
              </w:rPr>
            </w:pPr>
            <w:r w:rsidRPr="00C5049E">
              <w:rPr>
                <w:rFonts w:ascii="Cambria" w:hAnsi="Cambria"/>
                <w:bCs/>
                <w:sz w:val="22"/>
              </w:rPr>
              <w:t>OTC, Herbal</w:t>
            </w:r>
          </w:p>
        </w:tc>
        <w:tc>
          <w:tcPr>
            <w:tcW w:w="1705" w:type="dxa"/>
          </w:tcPr>
          <w:p w14:paraId="32F1BF5A" w14:textId="3EB9E3A5" w:rsidR="00C5049E" w:rsidRPr="00164215" w:rsidRDefault="20D8AE73" w:rsidP="28CA485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hAnsi="Cambria"/>
                <w:sz w:val="22"/>
                <w:szCs w:val="22"/>
                <w:highlight w:val="yellow"/>
              </w:rPr>
            </w:pPr>
            <w:r w:rsidRPr="001638B4">
              <w:rPr>
                <w:rFonts w:ascii="Cambria" w:hAnsi="Cambria"/>
                <w:sz w:val="22"/>
                <w:szCs w:val="22"/>
              </w:rPr>
              <w:t>1,3,4,5,6</w:t>
            </w:r>
          </w:p>
        </w:tc>
      </w:tr>
    </w:tbl>
    <w:p w14:paraId="05E0C2EB" w14:textId="77777777" w:rsidR="00C76BEC" w:rsidRPr="00C76BEC" w:rsidRDefault="00C76BEC" w:rsidP="002D552E">
      <w:pPr>
        <w:widowControl w:val="0"/>
        <w:autoSpaceDE w:val="0"/>
        <w:autoSpaceDN w:val="0"/>
        <w:adjustRightInd w:val="0"/>
        <w:spacing w:after="0" w:line="240" w:lineRule="auto"/>
        <w:rPr>
          <w:rFonts w:eastAsia="Times New Roman" w:cs="Times New Roman"/>
          <w:szCs w:val="24"/>
        </w:rPr>
      </w:pPr>
    </w:p>
    <w:p w14:paraId="43D666A9" w14:textId="73F50E1D"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33793D">
        <w:rPr>
          <w:rFonts w:eastAsia="Times New Roman" w:cs="Times New Roman"/>
          <w:b/>
          <w:szCs w:val="24"/>
        </w:rPr>
        <w:t xml:space="preserve"> </w:t>
      </w:r>
      <w:r w:rsidR="0033793D" w:rsidRPr="0033793D">
        <w:rPr>
          <w:rFonts w:eastAsia="Times New Roman" w:cs="Times New Roman"/>
          <w:szCs w:val="24"/>
        </w:rPr>
        <w:t xml:space="preserve">None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64097B82"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B4171D">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610704D0"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E85A60">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15B4EEEF" w14:textId="77777777" w:rsidR="00B4171D" w:rsidRDefault="00A138F5" w:rsidP="00B4171D">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B4171D">
        <w:rPr>
          <w:rFonts w:eastAsia="Times New Roman" w:cs="Times New Roman"/>
          <w:b/>
          <w:szCs w:val="24"/>
        </w:rPr>
        <w:t>ACCOMMODATIONS</w:t>
      </w:r>
      <w:r w:rsidR="00B4171D" w:rsidRPr="00E87FB6">
        <w:rPr>
          <w:rFonts w:eastAsia="Times New Roman" w:cs="Times New Roman"/>
          <w:b/>
          <w:szCs w:val="24"/>
        </w:rPr>
        <w:t>:</w:t>
      </w:r>
      <w:r w:rsidR="00B4171D">
        <w:rPr>
          <w:rFonts w:eastAsia="Times New Roman" w:cs="Times New Roman"/>
          <w:b/>
          <w:szCs w:val="24"/>
        </w:rPr>
        <w:t xml:space="preserve"> *</w:t>
      </w:r>
    </w:p>
    <w:p w14:paraId="593EF9B3" w14:textId="77777777" w:rsidR="00B4171D" w:rsidRDefault="00B4171D" w:rsidP="00B4171D">
      <w:pPr>
        <w:pStyle w:val="ListParagraph"/>
        <w:spacing w:after="0" w:line="240" w:lineRule="auto"/>
        <w:ind w:left="0"/>
        <w:rPr>
          <w:rFonts w:eastAsia="Times New Roman" w:cs="Times New Roman"/>
          <w:szCs w:val="24"/>
        </w:rPr>
      </w:pPr>
    </w:p>
    <w:p w14:paraId="1F362088" w14:textId="10DE83BE" w:rsidR="00E85A60" w:rsidRPr="00E85A60" w:rsidRDefault="00E85A60" w:rsidP="00E85A60">
      <w:pPr>
        <w:pStyle w:val="ListParagraph"/>
        <w:rPr>
          <w:rFonts w:eastAsia="Times New Roman" w:cs="Times New Roman"/>
          <w:szCs w:val="24"/>
        </w:rPr>
      </w:pPr>
      <w:r w:rsidRPr="00E85A60">
        <w:rPr>
          <w:rFonts w:eastAsia="Times New Roman" w:cs="Times New Roman"/>
          <w:szCs w:val="24"/>
        </w:rPr>
        <w:t>Students requesting accommodations may contact Ryan Hall, Accessibility Coordinator at rhall21@sscc.edu or 937-393-3431, X 2604.</w:t>
      </w:r>
    </w:p>
    <w:p w14:paraId="7A8ACDAE" w14:textId="77777777" w:rsidR="00E85A60" w:rsidRPr="00E85A60" w:rsidRDefault="00E85A60" w:rsidP="00E85A60">
      <w:pPr>
        <w:pStyle w:val="ListParagraph"/>
        <w:rPr>
          <w:rFonts w:eastAsia="Times New Roman" w:cs="Times New Roman"/>
          <w:szCs w:val="24"/>
        </w:rPr>
      </w:pPr>
      <w:r w:rsidRPr="00E85A60">
        <w:rPr>
          <w:rFonts w:eastAsia="Times New Roman" w:cs="Times New Roman"/>
          <w:szCs w:val="24"/>
        </w:rPr>
        <w:t> </w:t>
      </w:r>
    </w:p>
    <w:p w14:paraId="3A0188F8" w14:textId="77777777" w:rsidR="00E85A60" w:rsidRPr="00E85A60" w:rsidRDefault="00E85A60" w:rsidP="00E85A60">
      <w:pPr>
        <w:pStyle w:val="ListParagraph"/>
        <w:rPr>
          <w:rFonts w:eastAsia="Times New Roman" w:cs="Times New Roman"/>
          <w:szCs w:val="24"/>
        </w:rPr>
      </w:pPr>
      <w:r w:rsidRPr="00E85A60">
        <w:rPr>
          <w:rFonts w:eastAsia="Times New Roman" w:cs="Times New Roman"/>
          <w:szCs w:val="24"/>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67F05634" w14:textId="77777777" w:rsidR="00E85A60" w:rsidRPr="00E85A60" w:rsidRDefault="00E85A60" w:rsidP="00E85A60">
      <w:pPr>
        <w:pStyle w:val="ListParagraph"/>
        <w:rPr>
          <w:rFonts w:eastAsia="Times New Roman" w:cs="Times New Roman"/>
          <w:szCs w:val="24"/>
        </w:rPr>
      </w:pPr>
    </w:p>
    <w:p w14:paraId="269E230A" w14:textId="77777777" w:rsidR="00B4171D" w:rsidRDefault="00B4171D" w:rsidP="00B4171D">
      <w:pPr>
        <w:pStyle w:val="ListParagraph"/>
        <w:spacing w:after="0" w:line="240" w:lineRule="auto"/>
        <w:rPr>
          <w:rFonts w:eastAsia="Times New Roman" w:cs="Times New Roman"/>
          <w:szCs w:val="24"/>
        </w:rPr>
      </w:pPr>
    </w:p>
    <w:p w14:paraId="43D666AF" w14:textId="5AD4184B" w:rsidR="002D552E" w:rsidRDefault="002D552E" w:rsidP="00B4171D">
      <w:pPr>
        <w:pStyle w:val="ListParagraph"/>
        <w:spacing w:after="0" w:line="240" w:lineRule="auto"/>
        <w:ind w:left="0"/>
        <w:rPr>
          <w:rFonts w:eastAsia="Times New Roman" w:cs="Times New Roman"/>
          <w:szCs w:val="24"/>
        </w:rPr>
      </w:pPr>
    </w:p>
    <w:p w14:paraId="2869EDCF" w14:textId="096A7808" w:rsidR="00A138F5" w:rsidRDefault="00A138F5" w:rsidP="008A5A7C">
      <w:pPr>
        <w:spacing w:after="160" w:line="259" w:lineRule="auto"/>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748DD185" w14:textId="72FAD929" w:rsidR="00B53D62" w:rsidRPr="003801D0" w:rsidRDefault="00B53D62" w:rsidP="00B53D62">
      <w:pPr>
        <w:spacing w:after="0"/>
      </w:pPr>
      <w:r>
        <w:rPr>
          <w:rFonts w:eastAsia="Times New Roman" w:cs="Times New Roman"/>
          <w:szCs w:val="24"/>
        </w:rP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7FABD7C5" w14:textId="77777777" w:rsidR="00B53D62" w:rsidRPr="003801D0" w:rsidRDefault="00B53D62" w:rsidP="00B53D62">
      <w:pPr>
        <w:spacing w:after="0"/>
      </w:pPr>
    </w:p>
    <w:p w14:paraId="7E819587" w14:textId="743BD139" w:rsidR="00B53D62" w:rsidRDefault="00B53D62" w:rsidP="00B53D62">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4C524AB6" w14:textId="77777777" w:rsidR="00B53D62" w:rsidRDefault="00B53D62" w:rsidP="00B53D62">
      <w:pPr>
        <w:spacing w:after="0"/>
      </w:pPr>
    </w:p>
    <w:p w14:paraId="0C090CE6" w14:textId="2755E935" w:rsidR="00B53D62" w:rsidRPr="003801D0" w:rsidRDefault="00B53D62" w:rsidP="00B53D62">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524092CB" w14:textId="77777777" w:rsidR="00B53D62" w:rsidRPr="003801D0" w:rsidRDefault="00B53D62" w:rsidP="00B53D62">
      <w:pPr>
        <w:spacing w:after="0"/>
      </w:pPr>
    </w:p>
    <w:p w14:paraId="124C5B47" w14:textId="2DF41D7F" w:rsidR="00B53D62" w:rsidRPr="003801D0" w:rsidRDefault="00B53D62" w:rsidP="00B53D62">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548B7FF4" w14:textId="06B8A490" w:rsidR="00B53D62" w:rsidRDefault="00B53D62" w:rsidP="008A5A7C">
      <w:pPr>
        <w:spacing w:after="160" w:line="259" w:lineRule="auto"/>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B572" w14:textId="77777777" w:rsidR="0074530F" w:rsidRDefault="0074530F" w:rsidP="002D552E">
      <w:pPr>
        <w:spacing w:after="0" w:line="240" w:lineRule="auto"/>
      </w:pPr>
      <w:r>
        <w:separator/>
      </w:r>
    </w:p>
  </w:endnote>
  <w:endnote w:type="continuationSeparator" w:id="0">
    <w:p w14:paraId="49CCC9C7" w14:textId="77777777" w:rsidR="0074530F" w:rsidRDefault="0074530F"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4DA1" w14:textId="77777777" w:rsidR="0074530F" w:rsidRDefault="0074530F" w:rsidP="002D552E">
      <w:pPr>
        <w:spacing w:after="0" w:line="240" w:lineRule="auto"/>
      </w:pPr>
      <w:r>
        <w:separator/>
      </w:r>
    </w:p>
  </w:footnote>
  <w:footnote w:type="continuationSeparator" w:id="0">
    <w:p w14:paraId="733FB23B" w14:textId="77777777" w:rsidR="0074530F" w:rsidRDefault="0074530F"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31469741" w:rsidR="006B0B4B" w:rsidRPr="00D9546F" w:rsidRDefault="00E85A60" w:rsidP="006B0B4B">
    <w:pPr>
      <w:pStyle w:val="NoSpacing"/>
      <w:rPr>
        <w:b/>
        <w:sz w:val="20"/>
        <w:szCs w:val="20"/>
      </w:rPr>
    </w:pPr>
    <w:r>
      <w:rPr>
        <w:b/>
        <w:sz w:val="20"/>
        <w:szCs w:val="20"/>
      </w:rPr>
      <w:t>NRSG 1300 - Pharmacology</w:t>
    </w:r>
  </w:p>
  <w:p w14:paraId="43D666BC" w14:textId="743D8F1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D62238">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62238">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83C50F4"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9A2391">
      <w:rPr>
        <w:b/>
        <w:sz w:val="20"/>
        <w:szCs w:val="20"/>
      </w:rPr>
      <w:t>February 202</w:t>
    </w:r>
    <w:r w:rsidR="00E85A60">
      <w:rPr>
        <w:b/>
        <w:sz w:val="20"/>
        <w:szCs w:val="20"/>
      </w:rPr>
      <w:t>5</w:t>
    </w:r>
  </w:p>
  <w:p w14:paraId="0B623F1C" w14:textId="33F58223" w:rsidR="007D595B" w:rsidRPr="00C76BEC" w:rsidRDefault="00C76BEC" w:rsidP="00C76BEC">
    <w:pPr>
      <w:pStyle w:val="Header"/>
      <w:rPr>
        <w:sz w:val="18"/>
        <w:szCs w:val="18"/>
      </w:rPr>
    </w:pPr>
    <w:r>
      <w:rPr>
        <w:b/>
        <w:sz w:val="18"/>
        <w:szCs w:val="18"/>
      </w:rPr>
      <w:t>NRSG 1300 -- Pharmacology</w:t>
    </w:r>
  </w:p>
  <w:p w14:paraId="0661D6D7" w14:textId="76B22D42"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D6223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62238">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74464344"/>
    <w:lvl w:ilvl="0" w:tplc="EC24D18A">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C478E9"/>
    <w:multiLevelType w:val="hybridMultilevel"/>
    <w:tmpl w:val="B7B87BF4"/>
    <w:lvl w:ilvl="0" w:tplc="2A58D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327896"/>
    <w:multiLevelType w:val="hybridMultilevel"/>
    <w:tmpl w:val="0D6EA7B4"/>
    <w:lvl w:ilvl="0" w:tplc="B0203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97F46"/>
    <w:rsid w:val="00121C38"/>
    <w:rsid w:val="001521BA"/>
    <w:rsid w:val="001638B4"/>
    <w:rsid w:val="00164215"/>
    <w:rsid w:val="002D552E"/>
    <w:rsid w:val="0033793D"/>
    <w:rsid w:val="003656D3"/>
    <w:rsid w:val="004C0AF9"/>
    <w:rsid w:val="004D1743"/>
    <w:rsid w:val="004D4D14"/>
    <w:rsid w:val="0051463C"/>
    <w:rsid w:val="00561C9D"/>
    <w:rsid w:val="005A1847"/>
    <w:rsid w:val="006B0B4B"/>
    <w:rsid w:val="006C5B82"/>
    <w:rsid w:val="0074530F"/>
    <w:rsid w:val="007D595B"/>
    <w:rsid w:val="008342AF"/>
    <w:rsid w:val="008A5A7C"/>
    <w:rsid w:val="008C4AC0"/>
    <w:rsid w:val="00931E3B"/>
    <w:rsid w:val="009338DD"/>
    <w:rsid w:val="00945FDC"/>
    <w:rsid w:val="00946945"/>
    <w:rsid w:val="009A2391"/>
    <w:rsid w:val="009C4DFD"/>
    <w:rsid w:val="00A0239A"/>
    <w:rsid w:val="00A138F5"/>
    <w:rsid w:val="00AA122B"/>
    <w:rsid w:val="00B4171D"/>
    <w:rsid w:val="00B43501"/>
    <w:rsid w:val="00B53D62"/>
    <w:rsid w:val="00BA4455"/>
    <w:rsid w:val="00C5049E"/>
    <w:rsid w:val="00C76BEC"/>
    <w:rsid w:val="00C93759"/>
    <w:rsid w:val="00CF3854"/>
    <w:rsid w:val="00D1718E"/>
    <w:rsid w:val="00D62238"/>
    <w:rsid w:val="00D928E8"/>
    <w:rsid w:val="00DB6D7B"/>
    <w:rsid w:val="00DB7FE5"/>
    <w:rsid w:val="00E63CFB"/>
    <w:rsid w:val="00E75D32"/>
    <w:rsid w:val="00E85A60"/>
    <w:rsid w:val="00FC1F69"/>
    <w:rsid w:val="00FC2862"/>
    <w:rsid w:val="012EE1DB"/>
    <w:rsid w:val="075A8B87"/>
    <w:rsid w:val="0CEFD279"/>
    <w:rsid w:val="0D655775"/>
    <w:rsid w:val="0F25DBD7"/>
    <w:rsid w:val="10691E6E"/>
    <w:rsid w:val="1238C898"/>
    <w:rsid w:val="12699767"/>
    <w:rsid w:val="1349BEA2"/>
    <w:rsid w:val="1387B5CD"/>
    <w:rsid w:val="14E9E68B"/>
    <w:rsid w:val="170C39BB"/>
    <w:rsid w:val="1745BC08"/>
    <w:rsid w:val="19FBE377"/>
    <w:rsid w:val="1A0A1C91"/>
    <w:rsid w:val="1D383B29"/>
    <w:rsid w:val="1F37BE5F"/>
    <w:rsid w:val="203E789D"/>
    <w:rsid w:val="20D8AE73"/>
    <w:rsid w:val="22748560"/>
    <w:rsid w:val="22F9AD73"/>
    <w:rsid w:val="23242A23"/>
    <w:rsid w:val="28CA4856"/>
    <w:rsid w:val="2C755211"/>
    <w:rsid w:val="2CD0693E"/>
    <w:rsid w:val="2E607638"/>
    <w:rsid w:val="2E6C399F"/>
    <w:rsid w:val="3141166C"/>
    <w:rsid w:val="31A3DA61"/>
    <w:rsid w:val="333F4DA4"/>
    <w:rsid w:val="33F74C09"/>
    <w:rsid w:val="356FA8BB"/>
    <w:rsid w:val="37FEF06F"/>
    <w:rsid w:val="39F2B445"/>
    <w:rsid w:val="3D6C896F"/>
    <w:rsid w:val="4190F3FD"/>
    <w:rsid w:val="434A63D2"/>
    <w:rsid w:val="444BCA0D"/>
    <w:rsid w:val="45ADB451"/>
    <w:rsid w:val="479D38F0"/>
    <w:rsid w:val="4B8C93C8"/>
    <w:rsid w:val="52CABDDD"/>
    <w:rsid w:val="57759265"/>
    <w:rsid w:val="58B5D5B6"/>
    <w:rsid w:val="5B56FE45"/>
    <w:rsid w:val="5CCD1BC6"/>
    <w:rsid w:val="642D55B5"/>
    <w:rsid w:val="64386A5B"/>
    <w:rsid w:val="68986433"/>
    <w:rsid w:val="6DD92FC8"/>
    <w:rsid w:val="6DF746C8"/>
    <w:rsid w:val="71B37C80"/>
    <w:rsid w:val="7271C6A3"/>
    <w:rsid w:val="78B67583"/>
    <w:rsid w:val="7A5245E4"/>
    <w:rsid w:val="7AD9D242"/>
    <w:rsid w:val="7C048BAC"/>
    <w:rsid w:val="7C5496E6"/>
    <w:rsid w:val="7DF74118"/>
    <w:rsid w:val="7EE52BE0"/>
    <w:rsid w:val="7F25B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rsid w:val="00C76B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71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41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purl.org/dc/elements/1.1/"/>
    <ds:schemaRef ds:uri="http://purl.org/dc/terms/"/>
    <ds:schemaRef ds:uri="eb982b96-4599-4677-97e5-62fafcacf09d"/>
    <ds:schemaRef ds:uri="e4249713-ed63-4441-8474-ee629ca1c545"/>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E7088739-1530-4191-B85A-CDBC669944BD}"/>
</file>

<file path=docProps/app.xml><?xml version="1.0" encoding="utf-8"?>
<Properties xmlns="http://schemas.openxmlformats.org/officeDocument/2006/extended-properties" xmlns:vt="http://schemas.openxmlformats.org/officeDocument/2006/docPropsVTypes">
  <Template>Normal</Template>
  <TotalTime>5</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7</cp:revision>
  <dcterms:created xsi:type="dcterms:W3CDTF">2023-02-13T16:14:00Z</dcterms:created>
  <dcterms:modified xsi:type="dcterms:W3CDTF">2025-02-06T14:04:00Z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